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eastAsia" w:ascii="Arial" w:hAnsi="Arial" w:eastAsia="宋体" w:cs="Arial"/>
          <w:b/>
          <w:sz w:val="24"/>
          <w:szCs w:val="24"/>
          <w:lang w:val="en-US" w:eastAsia="zh-CN"/>
        </w:rPr>
      </w:pPr>
      <w:bookmarkStart w:id="0" w:name="Title"/>
      <w:bookmarkEnd w:id="0"/>
      <w:bookmarkStart w:id="1" w:name="DocumentFor"/>
      <w:bookmarkEnd w:id="1"/>
      <w:bookmarkStart w:id="2" w:name="_Toc193024528"/>
      <w:r>
        <w:rPr>
          <w:rFonts w:ascii="Arial" w:hAnsi="Arial" w:cs="Arial"/>
          <w:b/>
          <w:sz w:val="24"/>
          <w:szCs w:val="24"/>
        </w:rPr>
        <w:t>3GPP TSG-RAN WG4 Meeting #</w:t>
      </w:r>
      <w:r>
        <w:t xml:space="preserve"> </w:t>
      </w:r>
      <w:r>
        <w:rPr>
          <w:rFonts w:ascii="Arial" w:hAnsi="Arial" w:cs="Arial"/>
          <w:b/>
          <w:sz w:val="24"/>
          <w:szCs w:val="24"/>
        </w:rPr>
        <w:t xml:space="preserve">98-bis-e </w:t>
      </w:r>
      <w:r>
        <w:rPr>
          <w:rFonts w:hint="eastAsia" w:eastAsia="宋体" w:cs="Arial"/>
          <w:b/>
          <w:sz w:val="24"/>
          <w:szCs w:val="24"/>
          <w:lang w:val="en-US" w:eastAsia="zh-CN"/>
        </w:rPr>
        <w:t xml:space="preserve">                                                      </w:t>
      </w:r>
      <w:bookmarkStart w:id="3" w:name="_GoBack"/>
      <w:bookmarkEnd w:id="3"/>
      <w:r>
        <w:rPr>
          <w:rFonts w:hint="eastAsia" w:ascii="Arial" w:hAnsi="Arial" w:cs="Arial"/>
          <w:b/>
          <w:sz w:val="24"/>
          <w:szCs w:val="24"/>
        </w:rPr>
        <w:t>R4-210636</w:t>
      </w:r>
      <w:r>
        <w:rPr>
          <w:rFonts w:hint="eastAsia" w:eastAsia="宋体" w:cs="Arial"/>
          <w:b/>
          <w:sz w:val="24"/>
          <w:szCs w:val="24"/>
          <w:lang w:val="en-US" w:eastAsia="zh-CN"/>
        </w:rPr>
        <w:t>3</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4"/>
          <w:szCs w:val="24"/>
          <w:lang w:eastAsia="zh-CN"/>
        </w:rPr>
      </w:pPr>
      <w:r>
        <w:rPr>
          <w:rFonts w:ascii="Arial" w:hAnsi="Arial" w:eastAsia="宋体"/>
          <w:b/>
          <w:sz w:val="24"/>
          <w:szCs w:val="24"/>
          <w:lang w:eastAsia="zh-CN"/>
        </w:rPr>
        <w:t>Electronic Meeting, Apr. 12-20, 2021</w:t>
      </w: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Further discussion on SAR solution for NR PC2 inter-band CA</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cs="Arial"/>
          <w:b w:val="0"/>
          <w:bCs/>
          <w:sz w:val="22"/>
          <w:szCs w:val="22"/>
          <w:lang w:val="en-US" w:eastAsia="zh-CN"/>
        </w:rPr>
        <w:t>7</w:t>
      </w:r>
      <w:r>
        <w:rPr>
          <w:rFonts w:hint="eastAsia" w:ascii="Arial" w:hAnsi="Arial" w:cs="Arial"/>
          <w:b w:val="0"/>
          <w:bCs/>
          <w:sz w:val="22"/>
          <w:szCs w:val="22"/>
          <w:lang w:val="en-US" w:eastAsia="zh-CN"/>
        </w:rPr>
        <w:t>.1</w:t>
      </w:r>
      <w:r>
        <w:rPr>
          <w:rFonts w:hint="eastAsia" w:cs="Arial"/>
          <w:b w:val="0"/>
          <w:bCs/>
          <w:sz w:val="22"/>
          <w:szCs w:val="22"/>
          <w:lang w:val="en-US" w:eastAsia="zh-CN"/>
        </w:rPr>
        <w:t>9</w:t>
      </w:r>
      <w:r>
        <w:rPr>
          <w:rFonts w:hint="eastAsia" w:ascii="Arial" w:hAnsi="Arial" w:cs="Arial"/>
          <w:b w:val="0"/>
          <w:bCs/>
          <w:sz w:val="22"/>
          <w:szCs w:val="22"/>
          <w:lang w:val="en-US" w:eastAsia="zh-CN"/>
        </w:rPr>
        <w:t>.2</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In RAN #97e meeting, some candidate SAR solutions for</w:t>
      </w:r>
      <w:r>
        <w:rPr>
          <w:rFonts w:hint="eastAsia" w:eastAsia="宋体" w:cs="Times New Roman"/>
          <w:i w:val="0"/>
          <w:iCs w:val="0"/>
          <w:sz w:val="20"/>
          <w:szCs w:val="20"/>
          <w:lang w:val="en-US" w:eastAsia="zh-CN"/>
        </w:rPr>
        <w:t xml:space="preserve"> </w:t>
      </w:r>
      <w:r>
        <w:rPr>
          <w:rFonts w:hint="eastAsia" w:cs="Arial"/>
          <w:b w:val="0"/>
          <w:bCs/>
          <w:sz w:val="20"/>
          <w:szCs w:val="20"/>
          <w:lang w:val="en-US" w:eastAsia="zh-CN"/>
        </w:rPr>
        <w:t xml:space="preserve">NR PC2 inter-band CA and </w:t>
      </w:r>
      <w:r>
        <w:rPr>
          <w:rFonts w:hint="eastAsia" w:eastAsia="宋体" w:cs="Times New Roman"/>
          <w:i w:val="0"/>
          <w:iCs w:val="0"/>
          <w:sz w:val="20"/>
          <w:szCs w:val="22"/>
          <w:lang w:val="en-US" w:eastAsia="zh-CN"/>
        </w:rPr>
        <w:t xml:space="preserve">PC2 </w:t>
      </w:r>
      <w:r>
        <w:rPr>
          <w:rFonts w:hint="eastAsia" w:cs="Arial"/>
          <w:b w:val="0"/>
          <w:bCs/>
          <w:sz w:val="20"/>
          <w:szCs w:val="20"/>
          <w:lang w:val="en-US" w:eastAsia="zh-CN"/>
        </w:rPr>
        <w:t>SUL configurations have been captured in the agreed WF[1]</w:t>
      </w:r>
      <w:r>
        <w:rPr>
          <w:rFonts w:hint="eastAsia" w:eastAsia="宋体" w:cs="Times New Roman"/>
          <w:i w:val="0"/>
          <w:iCs w:val="0"/>
          <w:sz w:val="20"/>
          <w:szCs w:val="22"/>
          <w:lang w:val="en-US" w:eastAsia="zh-CN"/>
        </w:rPr>
        <w:t>, which are listed below.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drawing>
          <wp:inline distT="0" distB="0" distL="114300" distR="114300">
            <wp:extent cx="6120130" cy="2550160"/>
            <wp:effectExtent l="0" t="0" r="1397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6120130" cy="2550160"/>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And further, the SAR compliance mechanism for both PC2 inter-band UL CA and PC2 SUL combination are agreed to release independent from Rel-15 based on the P-MPR solution.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In RAN4 #98e meeting, the agreements [2] for SAR solution were: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drawing>
          <wp:inline distT="0" distB="0" distL="114300" distR="114300">
            <wp:extent cx="5182235" cy="215265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5182235" cy="2152650"/>
                    </a:xfrm>
                    <a:prstGeom prst="rect">
                      <a:avLst/>
                    </a:prstGeom>
                    <a:noFill/>
                    <a:ln>
                      <a:noFill/>
                    </a:ln>
                  </pic:spPr>
                </pic:pic>
              </a:graphicData>
            </a:graphic>
          </wp:inline>
        </w:drawing>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i w:val="0"/>
          <w:iCs w:val="0"/>
          <w:sz w:val="20"/>
          <w:szCs w:val="22"/>
          <w:lang w:val="en-US" w:eastAsia="zh-CN"/>
        </w:rPr>
        <w:t xml:space="preserve">In this contribution, we give some </w:t>
      </w:r>
      <w:r>
        <w:rPr>
          <w:rFonts w:hint="eastAsia" w:eastAsia="宋体" w:cs="Times New Roman"/>
          <w:i w:val="0"/>
          <w:iCs w:val="0"/>
          <w:sz w:val="20"/>
          <w:szCs w:val="22"/>
          <w:lang w:val="en-US" w:eastAsia="zh-CN"/>
        </w:rPr>
        <w:t xml:space="preserve">further </w:t>
      </w:r>
      <w:r>
        <w:rPr>
          <w:rFonts w:hint="eastAsia" w:ascii="Times New Roman" w:hAnsi="Times New Roman" w:eastAsia="宋体" w:cs="Times New Roman"/>
          <w:i w:val="0"/>
          <w:iCs w:val="0"/>
          <w:sz w:val="20"/>
          <w:szCs w:val="22"/>
          <w:lang w:val="en-US" w:eastAsia="zh-CN"/>
        </w:rPr>
        <w:t>discussion</w:t>
      </w:r>
      <w:r>
        <w:rPr>
          <w:rFonts w:hint="eastAsia" w:eastAsia="宋体" w:cs="Times New Roman"/>
          <w:i w:val="0"/>
          <w:iCs w:val="0"/>
          <w:sz w:val="20"/>
          <w:szCs w:val="22"/>
          <w:lang w:val="en-US" w:eastAsia="zh-CN"/>
        </w:rPr>
        <w:t>s</w:t>
      </w:r>
      <w:r>
        <w:rPr>
          <w:rFonts w:hint="eastAsia" w:ascii="Times New Roman" w:hAnsi="Times New Roman" w:eastAsia="宋体" w:cs="Times New Roman"/>
          <w:i w:val="0"/>
          <w:iCs w:val="0"/>
          <w:sz w:val="20"/>
          <w:szCs w:val="22"/>
          <w:lang w:val="en-US" w:eastAsia="zh-CN"/>
        </w:rPr>
        <w:t xml:space="preserve"> on the </w:t>
      </w:r>
      <w:r>
        <w:rPr>
          <w:rFonts w:hint="eastAsia" w:eastAsia="宋体" w:cs="Times New Roman"/>
          <w:i w:val="0"/>
          <w:iCs w:val="0"/>
          <w:sz w:val="20"/>
          <w:szCs w:val="22"/>
          <w:lang w:val="en-US" w:eastAsia="zh-CN"/>
        </w:rPr>
        <w:t xml:space="preserve">duty cycle based </w:t>
      </w:r>
      <w:r>
        <w:rPr>
          <w:rFonts w:hint="eastAsia" w:ascii="Times New Roman" w:hAnsi="Times New Roman" w:eastAsia="宋体" w:cs="Times New Roman"/>
          <w:i w:val="0"/>
          <w:iCs w:val="0"/>
          <w:sz w:val="20"/>
          <w:szCs w:val="22"/>
          <w:lang w:val="en-US" w:eastAsia="zh-CN"/>
        </w:rPr>
        <w:t xml:space="preserve">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NR inter-band CA.</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szCs w:val="22"/>
          <w:highlight w:val="none"/>
          <w:lang w:val="en-US" w:eastAsia="zh-CN"/>
        </w:rPr>
      </w:pPr>
      <w:r>
        <w:rPr>
          <w:rFonts w:hint="eastAsia" w:eastAsia="宋体" w:cs="Times New Roman"/>
          <w:i w:val="0"/>
          <w:iCs w:val="0"/>
          <w:sz w:val="20"/>
          <w:szCs w:val="22"/>
          <w:lang w:val="en-US" w:eastAsia="zh-CN"/>
        </w:rPr>
        <w:t xml:space="preserve">Comparing the agreements in the past two meetings, the big difference is introduce a coefficient i.e. SARratio for the duty cycle base solutions. The main purpose it to reflect the </w:t>
      </w:r>
      <w:r>
        <w:rPr>
          <w:rFonts w:hint="eastAsia" w:eastAsia="宋体" w:cs="Times New Roman"/>
          <w:i w:val="0"/>
          <w:iCs w:val="0"/>
          <w:sz w:val="20"/>
          <w:szCs w:val="22"/>
          <w:lang w:val="en-US" w:eastAsia="en-US"/>
        </w:rPr>
        <w:t>SAR effect in different band frequencies</w:t>
      </w:r>
      <w:r>
        <w:rPr>
          <w:rFonts w:hint="eastAsia" w:eastAsia="宋体" w:cs="Times New Roman"/>
          <w:i w:val="0"/>
          <w:iCs w:val="0"/>
          <w:sz w:val="20"/>
          <w:szCs w:val="22"/>
          <w:lang w:val="en-US" w:eastAsia="zh-CN"/>
        </w:rPr>
        <w:t xml:space="preserve"> for PC2 inter-band NR CA in case of only total duty cycle capability is reported, since l</w:t>
      </w:r>
      <w:r>
        <w:rPr>
          <w:rFonts w:hint="eastAsia" w:eastAsia="宋体" w:cs="Times New Roman"/>
          <w:sz w:val="20"/>
          <w:szCs w:val="22"/>
          <w:highlight w:val="none"/>
          <w:lang w:val="en-US" w:eastAsia="zh-CN"/>
        </w:rPr>
        <w:t>inear or equal SAR efforts in different band frequencies are not always the case in realistic, especially for the FDD and TDD band.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sz w:val="20"/>
          <w:szCs w:val="22"/>
          <w:highlight w:val="none"/>
          <w:lang w:val="en-US" w:eastAsia="zh-CN"/>
        </w:rPr>
        <w:t xml:space="preserve">It seems the idea was brought from Option 3 in TR37.815 when RAN4 discussed the PC2 FDD-TDD inter-band ENDC. However, the difference is that it is need to report </w:t>
      </w:r>
      <w:r>
        <w:rPr>
          <w:rFonts w:hint="eastAsia" w:eastAsia="宋体" w:cs="Times New Roman"/>
          <w:i w:val="0"/>
          <w:iCs w:val="0"/>
          <w:sz w:val="20"/>
          <w:szCs w:val="22"/>
          <w:lang w:val="en-US" w:eastAsia="zh-CN"/>
        </w:rPr>
        <w:t>SARratio in TS38.306 for PC2 ENDC, while no need for PC2 inter-band NR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i w:val="0"/>
          <w:iCs w:val="0"/>
          <w:sz w:val="20"/>
          <w:szCs w:val="22"/>
          <w:lang w:val="en-US" w:eastAsia="zh-CN"/>
        </w:rPr>
      </w:pPr>
      <w:r>
        <w:rPr>
          <w:rFonts w:hint="eastAsia" w:eastAsia="宋体" w:cs="Times New Roman"/>
          <w:b/>
          <w:bCs/>
          <w:i w:val="0"/>
          <w:iCs w:val="0"/>
          <w:sz w:val="20"/>
          <w:szCs w:val="22"/>
          <w:lang w:val="en-US" w:eastAsia="zh-CN"/>
        </w:rPr>
        <w:t>Observation: Only total duty cycle capability is reported although SARratio is considered.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cs="Times New Roman"/>
          <w:i w:val="0"/>
          <w:iCs w:val="0"/>
          <w:sz w:val="20"/>
          <w:szCs w:val="22"/>
          <w:lang w:val="en-US" w:eastAsia="zh-CN"/>
        </w:rPr>
        <w:t xml:space="preserve">By introduction of SARratio, the basic conceptional formulation of </w:t>
      </w:r>
      <w:r>
        <w:rPr>
          <w:b/>
          <w:sz w:val="20"/>
          <w:szCs w:val="20"/>
        </w:rPr>
        <w:t>Duty</w:t>
      </w:r>
      <w:r>
        <w:rPr>
          <w:rFonts w:hint="eastAsia" w:eastAsia="宋体"/>
          <w:b/>
          <w:szCs w:val="22"/>
          <w:vertAlign w:val="subscript"/>
          <w:lang w:eastAsia="zh-CN"/>
        </w:rPr>
        <w:t>NR, x</w:t>
      </w:r>
      <w:r>
        <w:rPr>
          <w:b/>
          <w:sz w:val="20"/>
          <w:szCs w:val="20"/>
          <w:vertAlign w:val="subscript"/>
        </w:rPr>
        <w:t xml:space="preserve"> </w:t>
      </w:r>
      <w:r>
        <w:rPr>
          <w:b/>
          <w:sz w:val="20"/>
          <w:szCs w:val="20"/>
        </w:rPr>
        <w:t>*( P</w:t>
      </w:r>
      <w:r>
        <w:rPr>
          <w:rFonts w:hint="eastAsia" w:eastAsia="宋体"/>
          <w:b/>
          <w:szCs w:val="22"/>
          <w:vertAlign w:val="subscript"/>
          <w:lang w:eastAsia="zh-CN"/>
        </w:rPr>
        <w:t>NR, x</w:t>
      </w:r>
      <w:r>
        <w:rPr>
          <w:b/>
          <w:sz w:val="20"/>
          <w:szCs w:val="20"/>
        </w:rPr>
        <w:t>/ P</w:t>
      </w:r>
      <w:r>
        <w:rPr>
          <w:b/>
          <w:sz w:val="20"/>
          <w:szCs w:val="20"/>
          <w:vertAlign w:val="subscript"/>
        </w:rPr>
        <w:t>26</w:t>
      </w:r>
      <w:r>
        <w:rPr>
          <w:b/>
          <w:sz w:val="20"/>
          <w:szCs w:val="20"/>
        </w:rPr>
        <w:t>) + Duty</w:t>
      </w:r>
      <w:r>
        <w:rPr>
          <w:rFonts w:hint="eastAsia" w:eastAsia="宋体"/>
          <w:b/>
          <w:szCs w:val="22"/>
          <w:vertAlign w:val="subscript"/>
          <w:lang w:eastAsia="zh-CN"/>
        </w:rPr>
        <w:t xml:space="preserve">NR, </w:t>
      </w:r>
      <w:r>
        <w:rPr>
          <w:rFonts w:hint="eastAsia" w:eastAsia="宋体"/>
          <w:b/>
          <w:szCs w:val="22"/>
          <w:vertAlign w:val="subscript"/>
          <w:lang w:val="en-US" w:eastAsia="zh-CN"/>
        </w:rPr>
        <w:t>y</w:t>
      </w:r>
      <w:r>
        <w:rPr>
          <w:b/>
          <w:sz w:val="20"/>
          <w:szCs w:val="20"/>
        </w:rPr>
        <w:t xml:space="preserve"> *(P</w:t>
      </w:r>
      <w:r>
        <w:rPr>
          <w:rFonts w:hint="eastAsia" w:eastAsia="宋体"/>
          <w:b/>
          <w:szCs w:val="22"/>
          <w:vertAlign w:val="subscript"/>
          <w:lang w:eastAsia="zh-CN"/>
        </w:rPr>
        <w:t xml:space="preserve">NR, </w:t>
      </w:r>
      <w:r>
        <w:rPr>
          <w:rFonts w:hint="eastAsia"/>
          <w:b/>
          <w:sz w:val="20"/>
          <w:szCs w:val="20"/>
          <w:vertAlign w:val="subscript"/>
          <w:lang w:val="en-US" w:eastAsia="zh-CN"/>
        </w:rPr>
        <w:t>y</w:t>
      </w:r>
      <w:r>
        <w:rPr>
          <w:b/>
          <w:sz w:val="20"/>
          <w:szCs w:val="20"/>
        </w:rPr>
        <w:t>/ P</w:t>
      </w:r>
      <w:r>
        <w:rPr>
          <w:b/>
          <w:sz w:val="20"/>
          <w:szCs w:val="20"/>
          <w:vertAlign w:val="subscript"/>
        </w:rPr>
        <w:t>26</w:t>
      </w:r>
      <w:r>
        <w:rPr>
          <w:b/>
          <w:sz w:val="20"/>
          <w:szCs w:val="20"/>
        </w:rPr>
        <w:t>)</w:t>
      </w:r>
      <w:r>
        <w:rPr>
          <w:rFonts w:eastAsia="华文楷体"/>
          <w:b/>
          <w:sz w:val="20"/>
          <w:szCs w:val="20"/>
        </w:rPr>
        <w:t xml:space="preserve">  ≤ </w:t>
      </w:r>
      <w:r>
        <w:rPr>
          <w:b/>
          <w:i/>
          <w:sz w:val="20"/>
          <w:szCs w:val="20"/>
          <w:lang w:eastAsia="zh-TW"/>
        </w:rPr>
        <w:t>Duty threshold</w:t>
      </w:r>
      <w:r>
        <w:rPr>
          <w:rFonts w:hint="eastAsia" w:eastAsia="宋体"/>
          <w:b/>
          <w:i/>
          <w:sz w:val="20"/>
          <w:szCs w:val="20"/>
          <w:lang w:val="en-US" w:eastAsia="zh-CN"/>
        </w:rPr>
        <w:t xml:space="preserve"> </w:t>
      </w:r>
      <w:r>
        <w:rPr>
          <w:rFonts w:hint="eastAsia" w:eastAsia="宋体" w:cs="Times New Roman"/>
          <w:i w:val="0"/>
          <w:iCs w:val="0"/>
          <w:sz w:val="20"/>
          <w:szCs w:val="22"/>
          <w:lang w:val="en-US" w:eastAsia="zh-CN"/>
        </w:rPr>
        <w:t>for the SAR scheme should be modified. In last meeting, there were two proposals [3][4], which are:</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sz w:val="20"/>
          <w:szCs w:val="22"/>
          <w:lang w:val="en-US" w:eastAsia="zh-CN"/>
        </w:rPr>
      </w:pPr>
      <w:r>
        <w:rPr>
          <w:rFonts w:hint="eastAsia" w:eastAsia="宋体"/>
          <w:b/>
          <w:szCs w:val="22"/>
          <w:lang w:val="en-US" w:eastAsia="zh-CN"/>
        </w:rPr>
        <w:t xml:space="preserve">(1): </w:t>
      </w:r>
      <w:r>
        <w:rPr>
          <w:b/>
          <w:szCs w:val="22"/>
        </w:rPr>
        <w:t>Duty</w:t>
      </w:r>
      <w:r>
        <w:rPr>
          <w:b/>
          <w:szCs w:val="22"/>
          <w:vertAlign w:val="subscript"/>
        </w:rPr>
        <w:t xml:space="preserve">NR,x </w:t>
      </w:r>
      <w:r>
        <w:rPr>
          <w:b/>
          <w:szCs w:val="22"/>
        </w:rPr>
        <w:t>*( P</w:t>
      </w:r>
      <w:r>
        <w:rPr>
          <w:b/>
          <w:szCs w:val="22"/>
          <w:vertAlign w:val="subscript"/>
        </w:rPr>
        <w:t>NR,x</w:t>
      </w:r>
      <w:r>
        <w:rPr>
          <w:b/>
          <w:szCs w:val="22"/>
        </w:rPr>
        <w:t>/ P</w:t>
      </w:r>
      <w:r>
        <w:rPr>
          <w:b/>
          <w:szCs w:val="22"/>
          <w:vertAlign w:val="subscript"/>
        </w:rPr>
        <w:t>26</w:t>
      </w:r>
      <w:r>
        <w:rPr>
          <w:b/>
          <w:szCs w:val="22"/>
        </w:rPr>
        <w:t>) + Duty</w:t>
      </w:r>
      <w:r>
        <w:rPr>
          <w:b/>
          <w:szCs w:val="22"/>
          <w:vertAlign w:val="subscript"/>
        </w:rPr>
        <w:t>NR,y</w:t>
      </w:r>
      <w:r>
        <w:rPr>
          <w:b/>
          <w:szCs w:val="22"/>
        </w:rPr>
        <w:t xml:space="preserve"> *(P</w:t>
      </w:r>
      <w:r>
        <w:rPr>
          <w:b/>
          <w:szCs w:val="22"/>
          <w:vertAlign w:val="subscript"/>
        </w:rPr>
        <w:t>NR,y</w:t>
      </w:r>
      <w:r>
        <w:rPr>
          <w:b/>
          <w:szCs w:val="22"/>
        </w:rPr>
        <w:t>/ P</w:t>
      </w:r>
      <w:r>
        <w:rPr>
          <w:b/>
          <w:szCs w:val="22"/>
          <w:vertAlign w:val="subscript"/>
        </w:rPr>
        <w:t>26</w:t>
      </w:r>
      <w:r>
        <w:rPr>
          <w:b/>
          <w:szCs w:val="22"/>
        </w:rPr>
        <w:t>)</w:t>
      </w:r>
      <w:r>
        <w:rPr>
          <w:rFonts w:hint="eastAsia"/>
          <w:b/>
          <w:szCs w:val="22"/>
        </w:rPr>
        <w:t>* SARratio</w:t>
      </w:r>
      <w:r>
        <w:rPr>
          <w:b/>
          <w:szCs w:val="22"/>
        </w:rPr>
        <w:t xml:space="preserve"> ≤ </w:t>
      </w:r>
      <w:r>
        <w:rPr>
          <w:b/>
          <w:i/>
          <w:szCs w:val="22"/>
        </w:rPr>
        <w:t>Duty threshold</w:t>
      </w:r>
      <w:r>
        <w:rPr>
          <w:b/>
          <w:i/>
          <w:szCs w:val="22"/>
        </w:rPr>
        <w:tab/>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rFonts w:hint="eastAsia" w:eastAsia="宋体"/>
          <w:b/>
          <w:szCs w:val="22"/>
          <w:lang w:val="en-US" w:eastAsia="zh-CN"/>
        </w:rPr>
        <w:t xml:space="preserve">(2): </w:t>
      </w:r>
      <w:r>
        <w:rPr>
          <w:rFonts w:eastAsia="宋体"/>
          <w:b/>
          <w:szCs w:val="22"/>
          <w:lang w:eastAsia="zh-CN"/>
        </w:rPr>
        <w:t>Duty</w:t>
      </w:r>
      <w:r>
        <w:rPr>
          <w:rFonts w:hint="eastAsia" w:eastAsia="宋体"/>
          <w:b/>
          <w:szCs w:val="22"/>
          <w:vertAlign w:val="subscript"/>
          <w:lang w:eastAsia="zh-CN"/>
        </w:rPr>
        <w:t>NR, x</w:t>
      </w:r>
      <w:r>
        <w:rPr>
          <w:rFonts w:eastAsia="宋体"/>
          <w:b/>
          <w:szCs w:val="22"/>
          <w:vertAlign w:val="subscript"/>
          <w:lang w:eastAsia="zh-CN"/>
        </w:rPr>
        <w:t xml:space="preserve"> </w:t>
      </w:r>
      <w:r>
        <w:rPr>
          <w:rFonts w:eastAsia="宋体"/>
          <w:b/>
          <w:szCs w:val="22"/>
          <w:lang w:eastAsia="zh-CN"/>
        </w:rPr>
        <w:t>*( P</w:t>
      </w:r>
      <w:r>
        <w:rPr>
          <w:rFonts w:hint="eastAsia" w:eastAsia="宋体"/>
          <w:b/>
          <w:szCs w:val="22"/>
          <w:vertAlign w:val="subscript"/>
          <w:lang w:eastAsia="zh-CN"/>
        </w:rPr>
        <w:t>NR,x</w:t>
      </w:r>
      <w:r>
        <w:rPr>
          <w:rFonts w:eastAsia="宋体"/>
          <w:b/>
          <w:szCs w:val="22"/>
          <w:lang w:eastAsia="zh-CN"/>
        </w:rPr>
        <w:t>/ P</w:t>
      </w:r>
      <w:r>
        <w:rPr>
          <w:rFonts w:eastAsia="宋体"/>
          <w:b/>
          <w:szCs w:val="22"/>
          <w:vertAlign w:val="subscript"/>
          <w:lang w:eastAsia="zh-CN"/>
        </w:rPr>
        <w:t>26</w:t>
      </w:r>
      <w:r>
        <w:rPr>
          <w:rFonts w:eastAsia="宋体"/>
          <w:b/>
          <w:szCs w:val="22"/>
          <w:lang w:eastAsia="zh-CN"/>
        </w:rPr>
        <w:t>)</w:t>
      </w:r>
      <w:r>
        <w:rPr>
          <w:rFonts w:hint="eastAsia" w:eastAsia="宋体"/>
          <w:b/>
          <w:szCs w:val="22"/>
          <w:lang w:eastAsia="zh-CN"/>
        </w:rPr>
        <w:t>*SARratio</w:t>
      </w:r>
      <w:r>
        <w:rPr>
          <w:rFonts w:hint="eastAsia" w:eastAsia="宋体"/>
          <w:b/>
          <w:szCs w:val="22"/>
          <w:vertAlign w:val="subscript"/>
          <w:lang w:eastAsia="zh-CN"/>
        </w:rPr>
        <w:t>NR, x</w:t>
      </w:r>
      <w:r>
        <w:rPr>
          <w:rFonts w:eastAsia="宋体"/>
          <w:b/>
          <w:szCs w:val="22"/>
          <w:lang w:eastAsia="zh-CN"/>
        </w:rPr>
        <w:t xml:space="preserve"> + Duty</w:t>
      </w:r>
      <w:r>
        <w:rPr>
          <w:rFonts w:eastAsia="宋体"/>
          <w:b/>
          <w:szCs w:val="22"/>
          <w:vertAlign w:val="subscript"/>
          <w:lang w:eastAsia="zh-CN"/>
        </w:rPr>
        <w:t>NR</w:t>
      </w:r>
      <w:r>
        <w:rPr>
          <w:rFonts w:hint="eastAsia" w:eastAsia="宋体"/>
          <w:b/>
          <w:szCs w:val="22"/>
          <w:vertAlign w:val="subscript"/>
          <w:lang w:eastAsia="zh-CN"/>
        </w:rPr>
        <w:t>, y</w:t>
      </w:r>
      <w:r>
        <w:rPr>
          <w:rFonts w:eastAsia="宋体"/>
          <w:b/>
          <w:szCs w:val="22"/>
          <w:lang w:eastAsia="zh-CN"/>
        </w:rPr>
        <w:t xml:space="preserve"> *(P</w:t>
      </w:r>
      <w:r>
        <w:rPr>
          <w:rFonts w:eastAsia="宋体"/>
          <w:b/>
          <w:szCs w:val="22"/>
          <w:vertAlign w:val="subscript"/>
          <w:lang w:eastAsia="zh-CN"/>
        </w:rPr>
        <w:t>NR</w:t>
      </w:r>
      <w:r>
        <w:rPr>
          <w:rFonts w:hint="eastAsia" w:eastAsia="宋体"/>
          <w:b/>
          <w:szCs w:val="22"/>
          <w:vertAlign w:val="subscript"/>
          <w:lang w:eastAsia="zh-CN"/>
        </w:rPr>
        <w:t>, y</w:t>
      </w:r>
      <w:r>
        <w:rPr>
          <w:rFonts w:eastAsia="宋体"/>
          <w:b/>
          <w:szCs w:val="22"/>
          <w:lang w:eastAsia="zh-CN"/>
        </w:rPr>
        <w:t>/ P</w:t>
      </w:r>
      <w:r>
        <w:rPr>
          <w:rFonts w:eastAsia="宋体"/>
          <w:b/>
          <w:szCs w:val="22"/>
          <w:vertAlign w:val="subscript"/>
          <w:lang w:eastAsia="zh-CN"/>
        </w:rPr>
        <w:t>26</w:t>
      </w:r>
      <w:r>
        <w:rPr>
          <w:rFonts w:eastAsia="宋体"/>
          <w:b/>
          <w:szCs w:val="22"/>
          <w:lang w:eastAsia="zh-CN"/>
        </w:rPr>
        <w:t>)</w:t>
      </w:r>
      <w:r>
        <w:rPr>
          <w:rFonts w:hint="eastAsia" w:eastAsia="宋体"/>
          <w:b/>
          <w:szCs w:val="22"/>
          <w:lang w:eastAsia="zh-CN"/>
        </w:rPr>
        <w:t>* SARratio</w:t>
      </w:r>
      <w:r>
        <w:rPr>
          <w:rFonts w:hint="eastAsia" w:eastAsia="宋体"/>
          <w:b/>
          <w:szCs w:val="22"/>
          <w:vertAlign w:val="subscript"/>
          <w:lang w:eastAsia="zh-CN"/>
        </w:rPr>
        <w:t>NR, y</w:t>
      </w:r>
      <w:r>
        <w:rPr>
          <w:rFonts w:eastAsia="宋体"/>
          <w:b/>
          <w:szCs w:val="22"/>
          <w:lang w:eastAsia="zh-CN"/>
        </w:rPr>
        <w:t xml:space="preserve">  ≤ </w:t>
      </w:r>
      <w:r>
        <w:rPr>
          <w:rFonts w:eastAsia="宋体"/>
          <w:b/>
          <w:i/>
          <w:szCs w:val="22"/>
          <w:lang w:eastAsia="zh-CN"/>
        </w:rPr>
        <w:t>Duty threshold</w:t>
      </w:r>
      <w:r>
        <w:rPr>
          <w:rFonts w:eastAsia="宋体"/>
          <w:b/>
          <w:i/>
          <w:szCs w:val="22"/>
          <w:lang w:eastAsia="zh-CN"/>
        </w:rPr>
        <w:tab/>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lang w:val="en-US" w:eastAsia="zh-CN" w:bidi="ar-SA"/>
        </w:rPr>
      </w:pPr>
      <w:r>
        <w:rPr>
          <w:rFonts w:hint="eastAsia" w:eastAsia="宋体" w:cs="Times New Roman"/>
          <w:i w:val="0"/>
          <w:iCs w:val="0"/>
          <w:sz w:val="20"/>
          <w:szCs w:val="22"/>
          <w:lang w:val="en-US" w:eastAsia="zh-CN"/>
        </w:rPr>
        <w:t xml:space="preserve">Where the formulation (1) is the similar as </w:t>
      </w:r>
      <w:r>
        <w:rPr>
          <w:rFonts w:hint="eastAsia" w:eastAsia="宋体" w:cs="Times New Roman"/>
          <w:sz w:val="20"/>
          <w:szCs w:val="22"/>
          <w:highlight w:val="none"/>
          <w:lang w:val="en-US" w:eastAsia="zh-CN"/>
        </w:rPr>
        <w:t xml:space="preserve">Option 3 in TR37.815, and the SARratio shall be reported according to [4]. From the formulation itself, </w:t>
      </w:r>
      <w:r>
        <w:rPr>
          <w:rFonts w:hint="eastAsia" w:eastAsia="宋体" w:cs="Times New Roman"/>
          <w:i w:val="0"/>
          <w:iCs w:val="0"/>
          <w:sz w:val="20"/>
          <w:szCs w:val="22"/>
          <w:lang w:val="en-US" w:eastAsia="zh-CN"/>
        </w:rPr>
        <w:t xml:space="preserve">formulation (1) is more </w:t>
      </w:r>
      <w:r>
        <w:rPr>
          <w:rFonts w:hint="default" w:ascii="Times New Roman" w:hAnsi="Times New Roman" w:eastAsia="宋体" w:cs="Times New Roman"/>
          <w:i w:val="0"/>
          <w:iCs w:val="0"/>
          <w:sz w:val="20"/>
          <w:szCs w:val="22"/>
          <w:lang w:val="en-US" w:eastAsia="zh-CN" w:bidi="ar-SA"/>
        </w:rPr>
        <w:t>concise</w:t>
      </w:r>
      <w:r>
        <w:rPr>
          <w:rFonts w:hint="eastAsia" w:eastAsia="宋体" w:cs="Times New Roman"/>
          <w:i w:val="0"/>
          <w:iCs w:val="0"/>
          <w:sz w:val="20"/>
          <w:szCs w:val="22"/>
          <w:lang w:val="en-US" w:eastAsia="zh-CN" w:bidi="ar-SA"/>
        </w:rPr>
        <w:t xml:space="preserve"> than </w:t>
      </w:r>
      <w:r>
        <w:rPr>
          <w:rFonts w:hint="eastAsia" w:eastAsia="宋体" w:cs="Times New Roman"/>
          <w:i w:val="0"/>
          <w:iCs w:val="0"/>
          <w:sz w:val="20"/>
          <w:szCs w:val="22"/>
          <w:lang w:val="en-US" w:eastAsia="zh-CN"/>
        </w:rPr>
        <w:t xml:space="preserve">formulation (2). However, it seems it is difficult to decide which bands the </w:t>
      </w:r>
      <w:r>
        <w:rPr>
          <w:rFonts w:hint="eastAsia" w:eastAsia="宋体" w:cs="Times New Roman"/>
          <w:sz w:val="20"/>
          <w:szCs w:val="22"/>
          <w:highlight w:val="none"/>
          <w:lang w:val="en-US" w:eastAsia="zh-CN"/>
        </w:rPr>
        <w:t xml:space="preserve">SARratio applies for, which is whether </w:t>
      </w:r>
      <w:r>
        <w:rPr>
          <w:rFonts w:hint="eastAsia" w:eastAsia="宋体" w:cs="Times New Roman"/>
          <w:i w:val="0"/>
          <w:iCs w:val="0"/>
          <w:sz w:val="20"/>
          <w:szCs w:val="22"/>
          <w:lang w:val="en-US" w:eastAsia="zh-CN"/>
        </w:rPr>
        <w:t>formulation (3) is ok?</w:t>
      </w:r>
    </w:p>
    <w:p>
      <w:pPr>
        <w:keepNext/>
        <w:keepLines/>
        <w:pageBreakBefore w:val="0"/>
        <w:widowControl w:val="0"/>
        <w:numPr>
          <w:ilvl w:val="0"/>
          <w:numId w:val="13"/>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b/>
          <w:szCs w:val="22"/>
        </w:rPr>
        <w:t>Duty</w:t>
      </w:r>
      <w:r>
        <w:rPr>
          <w:b/>
          <w:szCs w:val="22"/>
          <w:vertAlign w:val="subscript"/>
        </w:rPr>
        <w:t xml:space="preserve">NR,x </w:t>
      </w:r>
      <w:r>
        <w:rPr>
          <w:b/>
          <w:szCs w:val="22"/>
        </w:rPr>
        <w:t>*( P</w:t>
      </w:r>
      <w:r>
        <w:rPr>
          <w:b/>
          <w:szCs w:val="22"/>
          <w:vertAlign w:val="subscript"/>
        </w:rPr>
        <w:t>NR,x</w:t>
      </w:r>
      <w:r>
        <w:rPr>
          <w:b/>
          <w:szCs w:val="22"/>
        </w:rPr>
        <w:t>/ P</w:t>
      </w:r>
      <w:r>
        <w:rPr>
          <w:b/>
          <w:szCs w:val="22"/>
          <w:vertAlign w:val="subscript"/>
        </w:rPr>
        <w:t>26</w:t>
      </w:r>
      <w:r>
        <w:rPr>
          <w:b/>
          <w:szCs w:val="22"/>
        </w:rPr>
        <w:t xml:space="preserve">) </w:t>
      </w:r>
      <w:r>
        <w:rPr>
          <w:rFonts w:hint="eastAsia"/>
          <w:b/>
          <w:szCs w:val="22"/>
        </w:rPr>
        <w:t>* SARratio</w:t>
      </w:r>
      <w:r>
        <w:rPr>
          <w:rFonts w:hint="eastAsia" w:eastAsia="宋体"/>
          <w:b/>
          <w:szCs w:val="22"/>
          <w:lang w:val="en-US" w:eastAsia="zh-CN"/>
        </w:rPr>
        <w:t xml:space="preserve"> </w:t>
      </w:r>
      <w:r>
        <w:rPr>
          <w:b/>
          <w:szCs w:val="22"/>
        </w:rPr>
        <w:t>+ Duty</w:t>
      </w:r>
      <w:r>
        <w:rPr>
          <w:b/>
          <w:szCs w:val="22"/>
          <w:vertAlign w:val="subscript"/>
        </w:rPr>
        <w:t>NR,y</w:t>
      </w:r>
      <w:r>
        <w:rPr>
          <w:b/>
          <w:szCs w:val="22"/>
        </w:rPr>
        <w:t xml:space="preserve"> *(P</w:t>
      </w:r>
      <w:r>
        <w:rPr>
          <w:b/>
          <w:szCs w:val="22"/>
          <w:vertAlign w:val="subscript"/>
        </w:rPr>
        <w:t>NR,y</w:t>
      </w:r>
      <w:r>
        <w:rPr>
          <w:b/>
          <w:szCs w:val="22"/>
        </w:rPr>
        <w:t>/ P</w:t>
      </w:r>
      <w:r>
        <w:rPr>
          <w:b/>
          <w:szCs w:val="22"/>
          <w:vertAlign w:val="subscript"/>
        </w:rPr>
        <w:t>26</w:t>
      </w:r>
      <w:r>
        <w:rPr>
          <w:b/>
          <w:szCs w:val="22"/>
        </w:rPr>
        <w:t xml:space="preserve">) ≤ </w:t>
      </w:r>
      <w:r>
        <w:rPr>
          <w:b/>
          <w:i/>
          <w:szCs w:val="22"/>
        </w:rPr>
        <w:t>Duty threshold</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It should be noted the SAR ratio for PC2 inter-band ENDC is only applied to the LTE duty cycle item (</w:t>
      </w:r>
      <w:r>
        <w:rPr>
          <w:rFonts w:eastAsia="Yu Mincho"/>
          <w:sz w:val="20"/>
          <w:szCs w:val="20"/>
          <w:lang w:eastAsia="ja-JP"/>
        </w:rPr>
        <w:t>UplinkDutyCycle</w:t>
      </w:r>
      <w:r>
        <w:rPr>
          <w:rFonts w:eastAsia="Yu Mincho"/>
          <w:sz w:val="20"/>
          <w:szCs w:val="20"/>
          <w:vertAlign w:val="subscript"/>
          <w:lang w:eastAsia="ja-JP"/>
        </w:rPr>
        <w:t>LTE</w:t>
      </w:r>
      <w:r>
        <w:rPr>
          <w:rFonts w:hint="eastAsia"/>
          <w:sz w:val="20"/>
          <w:szCs w:val="20"/>
          <w:lang w:val="en-US" w:eastAsia="zh-CN"/>
        </w:rPr>
        <w:t xml:space="preserve">) which make NR band duty cycle capability more flexibility.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sz w:val="20"/>
          <w:szCs w:val="20"/>
          <w:lang w:val="en-US" w:eastAsia="zh-CN"/>
        </w:rPr>
        <w:t xml:space="preserve">However, for PC2 inter-band NR CA, situation becomes a bit different since both bands are NR bands, especially for TDD-TDD band combination and </w:t>
      </w:r>
      <w:r>
        <w:rPr>
          <w:rFonts w:hint="eastAsia" w:ascii="Times New Roman" w:hAnsi="Times New Roman" w:eastAsia="宋体" w:cs="Times New Roman"/>
          <w:color w:val="auto"/>
          <w:kern w:val="0"/>
          <w:sz w:val="20"/>
          <w:szCs w:val="22"/>
          <w:highlight w:val="none"/>
          <w:lang w:val="en-US" w:eastAsia="zh-CN" w:bidi="ar-SA"/>
        </w:rPr>
        <w:t xml:space="preserve">it is more complexity to report the duty cycle for </w:t>
      </w:r>
      <w:r>
        <w:rPr>
          <w:rFonts w:hint="eastAsia" w:eastAsia="宋体" w:cs="Times New Roman"/>
          <w:color w:val="auto"/>
          <w:kern w:val="0"/>
          <w:sz w:val="20"/>
          <w:szCs w:val="22"/>
          <w:highlight w:val="none"/>
          <w:lang w:val="en-US" w:eastAsia="zh-CN" w:bidi="ar-SA"/>
        </w:rPr>
        <w:t xml:space="preserve">NR TDD </w:t>
      </w:r>
      <w:r>
        <w:rPr>
          <w:rFonts w:hint="eastAsia" w:ascii="Times New Roman" w:hAnsi="Times New Roman" w:eastAsia="宋体" w:cs="Times New Roman"/>
          <w:color w:val="auto"/>
          <w:kern w:val="0"/>
          <w:sz w:val="20"/>
          <w:szCs w:val="22"/>
          <w:highlight w:val="none"/>
          <w:lang w:val="en-US" w:eastAsia="zh-CN" w:bidi="ar-SA"/>
        </w:rPr>
        <w:t>band in the case of more flexible NR TDD DL/UL configurations</w:t>
      </w:r>
      <w:r>
        <w:rPr>
          <w:rFonts w:hint="eastAsia"/>
          <w:sz w:val="20"/>
          <w:szCs w:val="20"/>
          <w:lang w:val="en-US" w:eastAsia="zh-CN"/>
        </w:rPr>
        <w:t xml:space="preserve">. Also we think it is reasonable to adopt uniform methods for both FDD-TDD and TDD-TDD band combination.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sz w:val="20"/>
          <w:szCs w:val="20"/>
          <w:lang w:val="en-US" w:eastAsia="zh-CN"/>
        </w:rPr>
      </w:pPr>
      <w:r>
        <w:rPr>
          <w:rFonts w:hint="eastAsia"/>
          <w:sz w:val="20"/>
          <w:szCs w:val="20"/>
          <w:lang w:val="en-US" w:eastAsia="zh-CN"/>
        </w:rPr>
        <w:t xml:space="preserve">Therefore,  </w:t>
      </w:r>
      <w:r>
        <w:rPr>
          <w:rFonts w:hint="eastAsia" w:eastAsia="宋体" w:cs="Times New Roman"/>
          <w:sz w:val="20"/>
          <w:szCs w:val="22"/>
          <w:highlight w:val="none"/>
          <w:lang w:val="en-US" w:eastAsia="zh-CN"/>
        </w:rPr>
        <w:t xml:space="preserve">SARratio is applied for both bands seems more reasonable, i.e. Formulation (2), where ratios are applied for both NR bands, which will bring </w:t>
      </w:r>
      <w:r>
        <w:rPr>
          <w:rFonts w:hint="eastAsia"/>
          <w:sz w:val="20"/>
          <w:szCs w:val="20"/>
          <w:lang w:val="en-US" w:eastAsia="zh-CN"/>
        </w:rPr>
        <w:t>flexibility for NR band duty cycle, especially for some high capability UE which can be scheduled high duty cycle for each band even in 26dBm output power.</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eastAsia="宋体" w:cs="Times New Roman"/>
          <w:b/>
          <w:bCs/>
          <w:sz w:val="20"/>
          <w:szCs w:val="22"/>
          <w:highlight w:val="none"/>
          <w:lang w:val="en-US" w:eastAsia="zh-CN"/>
        </w:rPr>
        <w:t>Proposal 1: Using formulation (2) for PC2 inter-band FDD-TDD/TDD-TDD SAR scheme solution.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szCs w:val="22"/>
          <w:highlight w:val="none"/>
          <w:lang w:val="en-US" w:eastAsia="zh-CN"/>
        </w:rPr>
      </w:pPr>
      <w:r>
        <w:rPr>
          <w:rFonts w:hint="eastAsia" w:eastAsia="宋体" w:cs="Times New Roman"/>
          <w:sz w:val="20"/>
          <w:szCs w:val="22"/>
          <w:highlight w:val="none"/>
          <w:lang w:val="en-US" w:eastAsia="zh-CN"/>
        </w:rPr>
        <w:t>Due to SARratio will not be reported, so SARration could be derived by some calculations, and also it is implementation related parameters due to SAR effect for different band at different frequency are different which depends on implementation such as antenna configurations for each bands.</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szCs w:val="22"/>
          <w:highlight w:val="none"/>
          <w:lang w:val="en-US" w:eastAsia="zh-CN"/>
        </w:rPr>
      </w:pPr>
      <w:r>
        <w:rPr>
          <w:rFonts w:hint="eastAsia" w:eastAsia="宋体" w:cs="Times New Roman"/>
          <w:sz w:val="20"/>
          <w:szCs w:val="22"/>
          <w:highlight w:val="none"/>
          <w:lang w:val="en-US" w:eastAsia="zh-CN"/>
        </w:rPr>
        <w:t xml:space="preserve">In addition, there are two cases for PC2 inter-band FDD-TDD NR CA and four cases for PC2 inter-band TDD-TDD NR CA, each case has different power allocation, which means the reported total duty cycle capability would be different. </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2: Different total duty cycle capability should be defined for each cases for either PC2 inter-band FDD-TDD or TDD-TDD NR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szCs w:val="20"/>
          <w:highlight w:val="none"/>
          <w:lang w:val="en-US" w:eastAsia="zh-CN"/>
        </w:rPr>
      </w:pPr>
      <w:r>
        <w:rPr>
          <w:rFonts w:hint="eastAsia" w:eastAsia="宋体" w:cs="Times New Roman"/>
          <w:sz w:val="20"/>
          <w:szCs w:val="22"/>
          <w:highlight w:val="none"/>
          <w:lang w:val="en-US" w:eastAsia="zh-CN"/>
        </w:rPr>
        <w:t xml:space="preserve">For the SARratio definition, we think the proposals in [3] can be used the starting point.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r>
        <w:rPr>
          <w:rFonts w:hint="eastAsia" w:ascii="Times New Roman" w:hAnsi="Times New Roman" w:eastAsia="宋体" w:cs="Times New Roman"/>
          <w:sz w:val="20"/>
          <w:szCs w:val="22"/>
          <w:lang w:val="en-US" w:eastAsia="zh-CN"/>
        </w:rPr>
        <w:t xml:space="preserve">In this paper,  we give some </w:t>
      </w:r>
      <w:r>
        <w:rPr>
          <w:rFonts w:hint="eastAsia" w:eastAsia="宋体" w:cs="Times New Roman"/>
          <w:sz w:val="20"/>
          <w:szCs w:val="22"/>
          <w:lang w:val="en-US" w:eastAsia="zh-CN"/>
        </w:rPr>
        <w:t xml:space="preserve">further </w:t>
      </w:r>
      <w:r>
        <w:rPr>
          <w:rFonts w:hint="eastAsia" w:ascii="Times New Roman" w:hAnsi="Times New Roman" w:eastAsia="宋体" w:cs="Times New Roman"/>
          <w:sz w:val="20"/>
          <w:szCs w:val="22"/>
          <w:lang w:val="en-US" w:eastAsia="zh-CN"/>
        </w:rPr>
        <w:t>discussion</w:t>
      </w:r>
      <w:r>
        <w:rPr>
          <w:rFonts w:hint="eastAsia" w:ascii="Times New Roman" w:hAnsi="Times New Roman" w:eastAsia="宋体" w:cs="Times New Roman"/>
          <w:i w:val="0"/>
          <w:iCs w:val="0"/>
          <w:sz w:val="20"/>
          <w:szCs w:val="22"/>
          <w:lang w:val="en-US" w:eastAsia="zh-CN"/>
        </w:rPr>
        <w:t xml:space="preserve"> on the applicable schemes to compliance to SAR issue for </w:t>
      </w:r>
      <w:r>
        <w:rPr>
          <w:rFonts w:hint="eastAsia" w:eastAsia="宋体" w:cs="Times New Roman"/>
          <w:i w:val="0"/>
          <w:iCs w:val="0"/>
          <w:sz w:val="20"/>
          <w:szCs w:val="22"/>
          <w:lang w:val="en-US" w:eastAsia="zh-CN"/>
        </w:rPr>
        <w:t>PC2</w:t>
      </w:r>
      <w:r>
        <w:rPr>
          <w:rFonts w:hint="eastAsia" w:ascii="Times New Roman" w:hAnsi="Times New Roman" w:eastAsia="宋体" w:cs="Times New Roman"/>
          <w:i w:val="0"/>
          <w:iCs w:val="0"/>
          <w:sz w:val="20"/>
          <w:szCs w:val="22"/>
          <w:lang w:val="en-US" w:eastAsia="zh-CN"/>
        </w:rPr>
        <w:t xml:space="preserve"> inter-band FDD-TDD and TDD-TDD CA.</w:t>
      </w:r>
      <w:r>
        <w:rPr>
          <w:rFonts w:hint="eastAsia" w:eastAsia="宋体" w:cs="Times New Roman"/>
          <w:i w:val="0"/>
          <w:iCs w:val="0"/>
          <w:sz w:val="20"/>
          <w:szCs w:val="22"/>
          <w:lang w:val="en-US" w:eastAsia="zh-CN"/>
        </w:rPr>
        <w:t>T</w:t>
      </w:r>
      <w:r>
        <w:rPr>
          <w:rFonts w:hint="eastAsia" w:ascii="Times New Roman" w:hAnsi="Times New Roman" w:eastAsia="宋体" w:cs="Times New Roman"/>
          <w:i w:val="0"/>
          <w:iCs w:val="0"/>
          <w:sz w:val="20"/>
          <w:szCs w:val="22"/>
          <w:lang w:val="en-US" w:eastAsia="zh-CN"/>
        </w:rPr>
        <w:t>he conclusions are summarized as follow:</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sz w:val="20"/>
          <w:szCs w:val="20"/>
          <w:lang w:val="en-US" w:eastAsia="zh-CN"/>
        </w:rPr>
      </w:pPr>
      <w:r>
        <w:rPr>
          <w:rFonts w:hint="eastAsia" w:eastAsia="宋体" w:cs="Times New Roman"/>
          <w:b/>
          <w:bCs/>
          <w:sz w:val="20"/>
          <w:szCs w:val="22"/>
          <w:highlight w:val="none"/>
          <w:lang w:val="en-US" w:eastAsia="zh-CN"/>
        </w:rPr>
        <w:t>Proposal 1: Using formulation (2) for PC2 inter-band FDD-TDD/TDD-TDD SAR scheme solution.</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b/>
          <w:bCs/>
          <w:sz w:val="20"/>
          <w:szCs w:val="22"/>
          <w:highlight w:val="none"/>
          <w:lang w:val="en-US" w:eastAsia="zh-CN"/>
        </w:rPr>
      </w:pPr>
      <w:r>
        <w:rPr>
          <w:rFonts w:hint="eastAsia" w:eastAsia="宋体" w:cs="Times New Roman"/>
          <w:b/>
          <w:bCs/>
          <w:sz w:val="20"/>
          <w:szCs w:val="22"/>
          <w:highlight w:val="none"/>
          <w:lang w:val="en-US" w:eastAsia="zh-CN"/>
        </w:rPr>
        <w:t>Proposal 2: Different total duty cycle capability should be defined for each cases for either PC2 inter-band FDD-TDD or TDD-TDD NR CA</w:t>
      </w:r>
    </w:p>
    <w:p>
      <w:pPr>
        <w:keepNext/>
        <w:keepLines/>
        <w:pageBreakBefore w:val="0"/>
        <w:widowControl w:val="0"/>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sz w:val="20"/>
          <w:szCs w:val="20"/>
          <w:highlight w:val="none"/>
          <w:lang w:val="en-US" w:eastAsia="zh-CN"/>
        </w:rPr>
      </w:pPr>
      <w:r>
        <w:rPr>
          <w:rFonts w:hint="eastAsia" w:eastAsia="宋体" w:cs="Times New Roman"/>
          <w:sz w:val="20"/>
          <w:szCs w:val="22"/>
          <w:highlight w:val="none"/>
          <w:lang w:val="en-US" w:eastAsia="zh-CN"/>
        </w:rPr>
        <w:t xml:space="preserve">For the SARratio definition, we think the proposals in [3] can be used the starting point.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2"/>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[1] R4-2016851 WF on SAR solutions for PC2 NR inter-band CA and SUL configurations, 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[2] R4-2103172, WF on SAR solutions for PC2 NR inter-band CA and SUL configurations, 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[3] R4-2101117, Discussion on SAR schemes for UE power class 2 NR inter-band CA with 2UL, China Telecom</w:t>
      </w:r>
    </w:p>
    <w:p>
      <w:pPr>
        <w:keepNext/>
        <w:keepLines/>
        <w:pageBreakBefore w:val="0"/>
        <w:widowControl w:val="0"/>
        <w:tabs>
          <w:tab w:val="left" w:pos="2127"/>
        </w:tabs>
        <w:kinsoku/>
        <w:wordWrap/>
        <w:overflowPunct/>
        <w:topLinePunct w:val="0"/>
        <w:autoSpaceDE/>
        <w:autoSpaceDN/>
        <w:bidi w:val="0"/>
        <w:adjustRightInd/>
        <w:snapToGrid/>
        <w:spacing w:before="120" w:after="120"/>
        <w:ind w:left="0" w:firstLine="0"/>
        <w:jc w:val="both"/>
        <w:textAlignment w:val="auto"/>
        <w:outlineLvl w:val="9"/>
        <w:rPr>
          <w:rFonts w:hint="eastAsia" w:eastAsia="宋体" w:cs="Times New Roman"/>
          <w:b w:val="0"/>
          <w:bCs w:val="0"/>
          <w:sz w:val="20"/>
          <w:szCs w:val="20"/>
          <w:vertAlign w:val="baseline"/>
          <w:lang w:val="en-US" w:eastAsia="zh-CN"/>
        </w:rPr>
      </w:pPr>
      <w:r>
        <w:rPr>
          <w:rFonts w:hint="eastAsia" w:eastAsia="宋体" w:cs="Times New Roman"/>
          <w:b w:val="0"/>
          <w:bCs w:val="0"/>
          <w:sz w:val="20"/>
          <w:szCs w:val="20"/>
          <w:vertAlign w:val="baseline"/>
          <w:lang w:val="en-US" w:eastAsia="zh-CN"/>
        </w:rPr>
        <w:t>[4] R4- 2102287, On the SAR solutions for UL CA band combinations, Huawei</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4">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0C108D9"/>
    <w:multiLevelType w:val="singleLevel"/>
    <w:tmpl w:val="50C108D9"/>
    <w:lvl w:ilvl="0" w:tentative="0">
      <w:start w:val="3"/>
      <w:numFmt w:val="decimal"/>
      <w:suff w:val="space"/>
      <w:lvlText w:val="(%1)"/>
      <w:lvlJc w:val="left"/>
    </w:lvl>
  </w:abstractNum>
  <w:abstractNum w:abstractNumId="8">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9"/>
  </w:num>
  <w:num w:numId="2">
    <w:abstractNumId w:val="3"/>
  </w:num>
  <w:num w:numId="3">
    <w:abstractNumId w:val="2"/>
  </w:num>
  <w:num w:numId="4">
    <w:abstractNumId w:val="1"/>
  </w:num>
  <w:num w:numId="5">
    <w:abstractNumId w:val="0"/>
  </w:num>
  <w:num w:numId="6">
    <w:abstractNumId w:val="8"/>
  </w:num>
  <w:num w:numId="7">
    <w:abstractNumId w:val="10"/>
  </w:num>
  <w:num w:numId="8">
    <w:abstractNumId w:val="12"/>
  </w:num>
  <w:num w:numId="9">
    <w:abstractNumId w:val="5"/>
  </w:num>
  <w:num w:numId="10">
    <w:abstractNumId w:val="6"/>
  </w:num>
  <w:num w:numId="11">
    <w:abstractNumId w:val="4"/>
  </w:num>
  <w:num w:numId="12">
    <w:abstractNumId w:val="1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6A"/>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584D"/>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649B4"/>
    <w:rsid w:val="01670293"/>
    <w:rsid w:val="01674D81"/>
    <w:rsid w:val="01680CBE"/>
    <w:rsid w:val="016C5EFD"/>
    <w:rsid w:val="01711B9C"/>
    <w:rsid w:val="017744A3"/>
    <w:rsid w:val="017A6282"/>
    <w:rsid w:val="017D283D"/>
    <w:rsid w:val="01836D6F"/>
    <w:rsid w:val="018847F8"/>
    <w:rsid w:val="018A1316"/>
    <w:rsid w:val="018C141B"/>
    <w:rsid w:val="018D3B10"/>
    <w:rsid w:val="019621B7"/>
    <w:rsid w:val="01965BE3"/>
    <w:rsid w:val="019B31EC"/>
    <w:rsid w:val="01A10B4A"/>
    <w:rsid w:val="01A5580E"/>
    <w:rsid w:val="01A92BDD"/>
    <w:rsid w:val="01AB1190"/>
    <w:rsid w:val="01AE603F"/>
    <w:rsid w:val="01B37AB2"/>
    <w:rsid w:val="01C03267"/>
    <w:rsid w:val="01C230B8"/>
    <w:rsid w:val="01C605AA"/>
    <w:rsid w:val="01C77E59"/>
    <w:rsid w:val="01C90E22"/>
    <w:rsid w:val="01CC7635"/>
    <w:rsid w:val="01D63E85"/>
    <w:rsid w:val="01DC352B"/>
    <w:rsid w:val="01E035BD"/>
    <w:rsid w:val="01E06988"/>
    <w:rsid w:val="01ED283C"/>
    <w:rsid w:val="01F61B27"/>
    <w:rsid w:val="01FB375F"/>
    <w:rsid w:val="01FB73D0"/>
    <w:rsid w:val="01FC180E"/>
    <w:rsid w:val="02093AA7"/>
    <w:rsid w:val="02096EC3"/>
    <w:rsid w:val="020E4504"/>
    <w:rsid w:val="020F6166"/>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50052"/>
    <w:rsid w:val="0276350F"/>
    <w:rsid w:val="027837DE"/>
    <w:rsid w:val="027C24F6"/>
    <w:rsid w:val="028909D6"/>
    <w:rsid w:val="029679BC"/>
    <w:rsid w:val="02A175C2"/>
    <w:rsid w:val="02A27389"/>
    <w:rsid w:val="02A7092C"/>
    <w:rsid w:val="02A76EA9"/>
    <w:rsid w:val="02A86E51"/>
    <w:rsid w:val="02AB2C40"/>
    <w:rsid w:val="02AE4D11"/>
    <w:rsid w:val="02B10E6C"/>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A0E0B"/>
    <w:rsid w:val="03AE03ED"/>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0972"/>
    <w:rsid w:val="044046F7"/>
    <w:rsid w:val="044527DA"/>
    <w:rsid w:val="04532E5B"/>
    <w:rsid w:val="045706F4"/>
    <w:rsid w:val="04597D32"/>
    <w:rsid w:val="045E3E24"/>
    <w:rsid w:val="0467131C"/>
    <w:rsid w:val="04733CD9"/>
    <w:rsid w:val="04740CAB"/>
    <w:rsid w:val="047C7418"/>
    <w:rsid w:val="047F211F"/>
    <w:rsid w:val="04921B49"/>
    <w:rsid w:val="049377A7"/>
    <w:rsid w:val="04970C3A"/>
    <w:rsid w:val="04AD5427"/>
    <w:rsid w:val="04B31C9E"/>
    <w:rsid w:val="04B773EC"/>
    <w:rsid w:val="04CE5DAA"/>
    <w:rsid w:val="04D06A94"/>
    <w:rsid w:val="04D822DA"/>
    <w:rsid w:val="04E251E1"/>
    <w:rsid w:val="04E5192B"/>
    <w:rsid w:val="04E55A04"/>
    <w:rsid w:val="04E951BC"/>
    <w:rsid w:val="04F83880"/>
    <w:rsid w:val="04FB32C2"/>
    <w:rsid w:val="0507209B"/>
    <w:rsid w:val="050B6335"/>
    <w:rsid w:val="0510022D"/>
    <w:rsid w:val="0510798F"/>
    <w:rsid w:val="05161306"/>
    <w:rsid w:val="051C3FC7"/>
    <w:rsid w:val="051C6040"/>
    <w:rsid w:val="052A53FB"/>
    <w:rsid w:val="05372C11"/>
    <w:rsid w:val="0538658A"/>
    <w:rsid w:val="053C7BE5"/>
    <w:rsid w:val="054A11F0"/>
    <w:rsid w:val="054D1171"/>
    <w:rsid w:val="05511F04"/>
    <w:rsid w:val="05570220"/>
    <w:rsid w:val="055E1C97"/>
    <w:rsid w:val="056335D9"/>
    <w:rsid w:val="056460C8"/>
    <w:rsid w:val="05682B24"/>
    <w:rsid w:val="056A0D12"/>
    <w:rsid w:val="05722307"/>
    <w:rsid w:val="057D13E0"/>
    <w:rsid w:val="057D208E"/>
    <w:rsid w:val="057E2E99"/>
    <w:rsid w:val="058162F2"/>
    <w:rsid w:val="058745B2"/>
    <w:rsid w:val="058B1C46"/>
    <w:rsid w:val="058C5F4A"/>
    <w:rsid w:val="058D33C5"/>
    <w:rsid w:val="058E4F3F"/>
    <w:rsid w:val="059E20A2"/>
    <w:rsid w:val="05A025D0"/>
    <w:rsid w:val="05A61B3E"/>
    <w:rsid w:val="05A77370"/>
    <w:rsid w:val="05CE76FB"/>
    <w:rsid w:val="05CF3E3B"/>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B32C2"/>
    <w:rsid w:val="068B6B45"/>
    <w:rsid w:val="069561E9"/>
    <w:rsid w:val="069A1A61"/>
    <w:rsid w:val="069B6E98"/>
    <w:rsid w:val="069C44CD"/>
    <w:rsid w:val="06A06B9D"/>
    <w:rsid w:val="06AB1DFD"/>
    <w:rsid w:val="06AB26A7"/>
    <w:rsid w:val="06B74133"/>
    <w:rsid w:val="06C31A1F"/>
    <w:rsid w:val="06C453F9"/>
    <w:rsid w:val="06C62533"/>
    <w:rsid w:val="06C82DD0"/>
    <w:rsid w:val="06CB06AF"/>
    <w:rsid w:val="06CF1323"/>
    <w:rsid w:val="06DA77D3"/>
    <w:rsid w:val="06DC48E2"/>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80C07"/>
    <w:rsid w:val="072D52E7"/>
    <w:rsid w:val="07350CA3"/>
    <w:rsid w:val="07392E0B"/>
    <w:rsid w:val="073B0379"/>
    <w:rsid w:val="073F1FDF"/>
    <w:rsid w:val="07447DDE"/>
    <w:rsid w:val="07505939"/>
    <w:rsid w:val="075460A8"/>
    <w:rsid w:val="07560AAB"/>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CC6B5D"/>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1100F4"/>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C54E0"/>
    <w:rsid w:val="086015DD"/>
    <w:rsid w:val="08670351"/>
    <w:rsid w:val="086D1825"/>
    <w:rsid w:val="08713A8E"/>
    <w:rsid w:val="08736AF5"/>
    <w:rsid w:val="08760D65"/>
    <w:rsid w:val="087D07B1"/>
    <w:rsid w:val="088B2800"/>
    <w:rsid w:val="088D3DB3"/>
    <w:rsid w:val="089248A3"/>
    <w:rsid w:val="08A14169"/>
    <w:rsid w:val="08A169E9"/>
    <w:rsid w:val="08AB7ED7"/>
    <w:rsid w:val="08AF3AE8"/>
    <w:rsid w:val="08B32027"/>
    <w:rsid w:val="08BB173B"/>
    <w:rsid w:val="08CD72D1"/>
    <w:rsid w:val="08CE2A40"/>
    <w:rsid w:val="08D52400"/>
    <w:rsid w:val="08DC5892"/>
    <w:rsid w:val="08E16EEF"/>
    <w:rsid w:val="08ED1042"/>
    <w:rsid w:val="08EE5E63"/>
    <w:rsid w:val="08F33667"/>
    <w:rsid w:val="08F80051"/>
    <w:rsid w:val="08FF75F2"/>
    <w:rsid w:val="09014876"/>
    <w:rsid w:val="0906231D"/>
    <w:rsid w:val="090F07A1"/>
    <w:rsid w:val="09105B11"/>
    <w:rsid w:val="09130B62"/>
    <w:rsid w:val="091744D0"/>
    <w:rsid w:val="091F6975"/>
    <w:rsid w:val="09204DFE"/>
    <w:rsid w:val="092760A2"/>
    <w:rsid w:val="092D6FEC"/>
    <w:rsid w:val="092F0069"/>
    <w:rsid w:val="092F4A13"/>
    <w:rsid w:val="09310D62"/>
    <w:rsid w:val="093F1597"/>
    <w:rsid w:val="09441620"/>
    <w:rsid w:val="09441EEA"/>
    <w:rsid w:val="094A67BF"/>
    <w:rsid w:val="09556E1F"/>
    <w:rsid w:val="09595A8E"/>
    <w:rsid w:val="095A3ACC"/>
    <w:rsid w:val="095C31CB"/>
    <w:rsid w:val="09635095"/>
    <w:rsid w:val="096B63AD"/>
    <w:rsid w:val="09734468"/>
    <w:rsid w:val="097431C6"/>
    <w:rsid w:val="098A3F5C"/>
    <w:rsid w:val="098D6520"/>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401F0"/>
    <w:rsid w:val="0A751BB2"/>
    <w:rsid w:val="0A77426F"/>
    <w:rsid w:val="0A79542C"/>
    <w:rsid w:val="0A7D1D2F"/>
    <w:rsid w:val="0A8904FD"/>
    <w:rsid w:val="0A904D0B"/>
    <w:rsid w:val="0A916E1D"/>
    <w:rsid w:val="0A9774A5"/>
    <w:rsid w:val="0A9B1CF2"/>
    <w:rsid w:val="0AA27AC1"/>
    <w:rsid w:val="0AA738E8"/>
    <w:rsid w:val="0AAA4BCB"/>
    <w:rsid w:val="0AAC5BDF"/>
    <w:rsid w:val="0AB07F15"/>
    <w:rsid w:val="0AB11671"/>
    <w:rsid w:val="0AB2374D"/>
    <w:rsid w:val="0ABB622B"/>
    <w:rsid w:val="0ABD2945"/>
    <w:rsid w:val="0ABD5EB4"/>
    <w:rsid w:val="0ABF214E"/>
    <w:rsid w:val="0AC11D6C"/>
    <w:rsid w:val="0AC4272A"/>
    <w:rsid w:val="0AC51A47"/>
    <w:rsid w:val="0AC93231"/>
    <w:rsid w:val="0AD7243D"/>
    <w:rsid w:val="0AD73ACA"/>
    <w:rsid w:val="0AD829A8"/>
    <w:rsid w:val="0AD866C0"/>
    <w:rsid w:val="0ADC5D23"/>
    <w:rsid w:val="0AE23DA6"/>
    <w:rsid w:val="0AEA7232"/>
    <w:rsid w:val="0AF44695"/>
    <w:rsid w:val="0AFF04EF"/>
    <w:rsid w:val="0AFF28BB"/>
    <w:rsid w:val="0B070072"/>
    <w:rsid w:val="0B080C34"/>
    <w:rsid w:val="0B096705"/>
    <w:rsid w:val="0B110BE9"/>
    <w:rsid w:val="0B1C4BBB"/>
    <w:rsid w:val="0B1F01C1"/>
    <w:rsid w:val="0B2110B3"/>
    <w:rsid w:val="0B232D20"/>
    <w:rsid w:val="0B2A0E69"/>
    <w:rsid w:val="0B300128"/>
    <w:rsid w:val="0B3171CB"/>
    <w:rsid w:val="0B3276E8"/>
    <w:rsid w:val="0B354623"/>
    <w:rsid w:val="0B5355EB"/>
    <w:rsid w:val="0B581A82"/>
    <w:rsid w:val="0B62077D"/>
    <w:rsid w:val="0B633BD1"/>
    <w:rsid w:val="0B67076C"/>
    <w:rsid w:val="0B6A4660"/>
    <w:rsid w:val="0B6B2BC3"/>
    <w:rsid w:val="0B6C09A7"/>
    <w:rsid w:val="0B7E5B00"/>
    <w:rsid w:val="0B8650E8"/>
    <w:rsid w:val="0B940F71"/>
    <w:rsid w:val="0B9B3F6E"/>
    <w:rsid w:val="0B9C5B24"/>
    <w:rsid w:val="0B9F136F"/>
    <w:rsid w:val="0BA4493F"/>
    <w:rsid w:val="0BA94B42"/>
    <w:rsid w:val="0BAC7903"/>
    <w:rsid w:val="0BB506BE"/>
    <w:rsid w:val="0BC512D1"/>
    <w:rsid w:val="0BC579DC"/>
    <w:rsid w:val="0BC61946"/>
    <w:rsid w:val="0BC94107"/>
    <w:rsid w:val="0BC94B37"/>
    <w:rsid w:val="0BCA21C2"/>
    <w:rsid w:val="0BCD4AC5"/>
    <w:rsid w:val="0BD254C0"/>
    <w:rsid w:val="0BD43488"/>
    <w:rsid w:val="0BDD1E37"/>
    <w:rsid w:val="0BDE3DF6"/>
    <w:rsid w:val="0BE1620F"/>
    <w:rsid w:val="0BE376C6"/>
    <w:rsid w:val="0BE7693E"/>
    <w:rsid w:val="0BEB39E4"/>
    <w:rsid w:val="0BF00B65"/>
    <w:rsid w:val="0BF33C47"/>
    <w:rsid w:val="0C0E4E46"/>
    <w:rsid w:val="0C131F97"/>
    <w:rsid w:val="0C1A2934"/>
    <w:rsid w:val="0C20567B"/>
    <w:rsid w:val="0C392883"/>
    <w:rsid w:val="0C405D6F"/>
    <w:rsid w:val="0C412021"/>
    <w:rsid w:val="0C43314A"/>
    <w:rsid w:val="0C4E3384"/>
    <w:rsid w:val="0C52427D"/>
    <w:rsid w:val="0C55144C"/>
    <w:rsid w:val="0C5546A8"/>
    <w:rsid w:val="0C583E90"/>
    <w:rsid w:val="0C585075"/>
    <w:rsid w:val="0C5A7B75"/>
    <w:rsid w:val="0C5C44CE"/>
    <w:rsid w:val="0C5D2F52"/>
    <w:rsid w:val="0C5D5121"/>
    <w:rsid w:val="0C661B68"/>
    <w:rsid w:val="0C6B4A8E"/>
    <w:rsid w:val="0C6D4F7B"/>
    <w:rsid w:val="0C7054B5"/>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AC5333"/>
    <w:rsid w:val="0CB607E1"/>
    <w:rsid w:val="0CB76AF5"/>
    <w:rsid w:val="0CBD71E9"/>
    <w:rsid w:val="0CC15B44"/>
    <w:rsid w:val="0CC3200E"/>
    <w:rsid w:val="0CD334FB"/>
    <w:rsid w:val="0CD52D85"/>
    <w:rsid w:val="0CD54D0E"/>
    <w:rsid w:val="0CDF1490"/>
    <w:rsid w:val="0CE25725"/>
    <w:rsid w:val="0CE27AD3"/>
    <w:rsid w:val="0CE63914"/>
    <w:rsid w:val="0D010B97"/>
    <w:rsid w:val="0D080ED4"/>
    <w:rsid w:val="0D101A3C"/>
    <w:rsid w:val="0D180224"/>
    <w:rsid w:val="0D180656"/>
    <w:rsid w:val="0D18182A"/>
    <w:rsid w:val="0D1B657D"/>
    <w:rsid w:val="0D2F25B1"/>
    <w:rsid w:val="0D3C46B2"/>
    <w:rsid w:val="0D3C70CB"/>
    <w:rsid w:val="0D4365AA"/>
    <w:rsid w:val="0D4614AE"/>
    <w:rsid w:val="0D4A50B4"/>
    <w:rsid w:val="0D514530"/>
    <w:rsid w:val="0D521205"/>
    <w:rsid w:val="0D5960E0"/>
    <w:rsid w:val="0D5F33A1"/>
    <w:rsid w:val="0D673165"/>
    <w:rsid w:val="0D701250"/>
    <w:rsid w:val="0D7344C8"/>
    <w:rsid w:val="0D747D20"/>
    <w:rsid w:val="0D763116"/>
    <w:rsid w:val="0D830CBD"/>
    <w:rsid w:val="0D8B1980"/>
    <w:rsid w:val="0D8B481D"/>
    <w:rsid w:val="0D9C6CA1"/>
    <w:rsid w:val="0D9D493D"/>
    <w:rsid w:val="0DA25C8E"/>
    <w:rsid w:val="0DAC5546"/>
    <w:rsid w:val="0DAD1AC0"/>
    <w:rsid w:val="0DAF3CAF"/>
    <w:rsid w:val="0DBA2854"/>
    <w:rsid w:val="0DBB4D38"/>
    <w:rsid w:val="0DC92BE8"/>
    <w:rsid w:val="0DCB27E2"/>
    <w:rsid w:val="0DCE2610"/>
    <w:rsid w:val="0DD00B2F"/>
    <w:rsid w:val="0DE24973"/>
    <w:rsid w:val="0DE4532D"/>
    <w:rsid w:val="0DE95AE2"/>
    <w:rsid w:val="0DED4B8F"/>
    <w:rsid w:val="0DF04645"/>
    <w:rsid w:val="0DF15BF6"/>
    <w:rsid w:val="0DF27318"/>
    <w:rsid w:val="0DF30D49"/>
    <w:rsid w:val="0DF45D73"/>
    <w:rsid w:val="0DF54078"/>
    <w:rsid w:val="0DF54DEA"/>
    <w:rsid w:val="0E041D2C"/>
    <w:rsid w:val="0E084950"/>
    <w:rsid w:val="0E121DB2"/>
    <w:rsid w:val="0E126018"/>
    <w:rsid w:val="0E1271E2"/>
    <w:rsid w:val="0E1B6AEF"/>
    <w:rsid w:val="0E1B7FF1"/>
    <w:rsid w:val="0E1C0D60"/>
    <w:rsid w:val="0E1C6C9C"/>
    <w:rsid w:val="0E1D4EB3"/>
    <w:rsid w:val="0E1E0AD2"/>
    <w:rsid w:val="0E1E23FC"/>
    <w:rsid w:val="0E207223"/>
    <w:rsid w:val="0E244A7F"/>
    <w:rsid w:val="0E273EB4"/>
    <w:rsid w:val="0E296F97"/>
    <w:rsid w:val="0E2E2266"/>
    <w:rsid w:val="0E331BB8"/>
    <w:rsid w:val="0E3448A4"/>
    <w:rsid w:val="0E373E96"/>
    <w:rsid w:val="0E386486"/>
    <w:rsid w:val="0E3B4B17"/>
    <w:rsid w:val="0E413C17"/>
    <w:rsid w:val="0E4D1CC0"/>
    <w:rsid w:val="0E546C25"/>
    <w:rsid w:val="0E5733FF"/>
    <w:rsid w:val="0E573BA8"/>
    <w:rsid w:val="0E5C48A1"/>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01EFF"/>
    <w:rsid w:val="0EBA588B"/>
    <w:rsid w:val="0EBC786E"/>
    <w:rsid w:val="0EC23ABC"/>
    <w:rsid w:val="0EC26502"/>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A4198"/>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33686"/>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9D111C"/>
    <w:rsid w:val="10B96A3B"/>
    <w:rsid w:val="10CE07DA"/>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1D44B4"/>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43F1E"/>
    <w:rsid w:val="1197723B"/>
    <w:rsid w:val="11977D55"/>
    <w:rsid w:val="119F2B47"/>
    <w:rsid w:val="11A659D9"/>
    <w:rsid w:val="11A67383"/>
    <w:rsid w:val="11A9518F"/>
    <w:rsid w:val="11B05A60"/>
    <w:rsid w:val="11BC664B"/>
    <w:rsid w:val="11BF56EF"/>
    <w:rsid w:val="11C1751E"/>
    <w:rsid w:val="11C846B5"/>
    <w:rsid w:val="11C909CA"/>
    <w:rsid w:val="11C936A2"/>
    <w:rsid w:val="11D93CCB"/>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96E73"/>
    <w:rsid w:val="12AF442E"/>
    <w:rsid w:val="12B21F52"/>
    <w:rsid w:val="12B32A37"/>
    <w:rsid w:val="12C20883"/>
    <w:rsid w:val="12CB538A"/>
    <w:rsid w:val="12CD1DC9"/>
    <w:rsid w:val="12D43973"/>
    <w:rsid w:val="12E27109"/>
    <w:rsid w:val="12E77AD7"/>
    <w:rsid w:val="12E94E33"/>
    <w:rsid w:val="12EA0359"/>
    <w:rsid w:val="12F9591A"/>
    <w:rsid w:val="130B1D8A"/>
    <w:rsid w:val="131358FB"/>
    <w:rsid w:val="13173505"/>
    <w:rsid w:val="131F3AD2"/>
    <w:rsid w:val="13293EE0"/>
    <w:rsid w:val="133025EA"/>
    <w:rsid w:val="13304676"/>
    <w:rsid w:val="13326762"/>
    <w:rsid w:val="133657BA"/>
    <w:rsid w:val="133E3DD1"/>
    <w:rsid w:val="13403B28"/>
    <w:rsid w:val="13445DA5"/>
    <w:rsid w:val="13481951"/>
    <w:rsid w:val="1348475C"/>
    <w:rsid w:val="134D10DE"/>
    <w:rsid w:val="13591017"/>
    <w:rsid w:val="135A14B5"/>
    <w:rsid w:val="135A5212"/>
    <w:rsid w:val="135C392E"/>
    <w:rsid w:val="135D5A77"/>
    <w:rsid w:val="135F52DB"/>
    <w:rsid w:val="13614997"/>
    <w:rsid w:val="136A13B4"/>
    <w:rsid w:val="13735FFB"/>
    <w:rsid w:val="13757BE9"/>
    <w:rsid w:val="137D1899"/>
    <w:rsid w:val="137D5093"/>
    <w:rsid w:val="137E369E"/>
    <w:rsid w:val="137E41AF"/>
    <w:rsid w:val="138164BF"/>
    <w:rsid w:val="13873F07"/>
    <w:rsid w:val="138C236B"/>
    <w:rsid w:val="139C4E65"/>
    <w:rsid w:val="139E263E"/>
    <w:rsid w:val="13A3399C"/>
    <w:rsid w:val="13AC5BEA"/>
    <w:rsid w:val="13B03731"/>
    <w:rsid w:val="13B2406D"/>
    <w:rsid w:val="13BC433D"/>
    <w:rsid w:val="13C80714"/>
    <w:rsid w:val="13CC3DEC"/>
    <w:rsid w:val="13CE4DFF"/>
    <w:rsid w:val="13D129B7"/>
    <w:rsid w:val="13D209DD"/>
    <w:rsid w:val="13D7766B"/>
    <w:rsid w:val="13D973FD"/>
    <w:rsid w:val="13E4728B"/>
    <w:rsid w:val="13EA1294"/>
    <w:rsid w:val="13F3515A"/>
    <w:rsid w:val="13F41217"/>
    <w:rsid w:val="13F66932"/>
    <w:rsid w:val="13FA7416"/>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A73AE"/>
    <w:rsid w:val="144C2878"/>
    <w:rsid w:val="145159B5"/>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F04C6"/>
    <w:rsid w:val="1497510D"/>
    <w:rsid w:val="149D4997"/>
    <w:rsid w:val="14A04F69"/>
    <w:rsid w:val="14A10588"/>
    <w:rsid w:val="14A11363"/>
    <w:rsid w:val="14A56052"/>
    <w:rsid w:val="14A87888"/>
    <w:rsid w:val="14AA6172"/>
    <w:rsid w:val="14AC283B"/>
    <w:rsid w:val="14B071EA"/>
    <w:rsid w:val="14BD5CC4"/>
    <w:rsid w:val="14C42409"/>
    <w:rsid w:val="14C510C3"/>
    <w:rsid w:val="14CC3E85"/>
    <w:rsid w:val="14DA2BB5"/>
    <w:rsid w:val="14E1264D"/>
    <w:rsid w:val="14E93B9B"/>
    <w:rsid w:val="14EC0CCF"/>
    <w:rsid w:val="14F94487"/>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D33D0"/>
    <w:rsid w:val="15536C61"/>
    <w:rsid w:val="15537EDD"/>
    <w:rsid w:val="155529D0"/>
    <w:rsid w:val="155E2BED"/>
    <w:rsid w:val="156030EC"/>
    <w:rsid w:val="15615604"/>
    <w:rsid w:val="15672A63"/>
    <w:rsid w:val="156B3683"/>
    <w:rsid w:val="156D05EA"/>
    <w:rsid w:val="157B5E01"/>
    <w:rsid w:val="157C0E9E"/>
    <w:rsid w:val="15822789"/>
    <w:rsid w:val="1587473D"/>
    <w:rsid w:val="158B3505"/>
    <w:rsid w:val="159668BE"/>
    <w:rsid w:val="159C7418"/>
    <w:rsid w:val="15A50240"/>
    <w:rsid w:val="15A730AB"/>
    <w:rsid w:val="15A82899"/>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70A35"/>
    <w:rsid w:val="160848A2"/>
    <w:rsid w:val="16105B54"/>
    <w:rsid w:val="161204DB"/>
    <w:rsid w:val="1614006C"/>
    <w:rsid w:val="16140FF8"/>
    <w:rsid w:val="16163B4F"/>
    <w:rsid w:val="162022AB"/>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A77043"/>
    <w:rsid w:val="16B1062A"/>
    <w:rsid w:val="16B90F31"/>
    <w:rsid w:val="16C1247A"/>
    <w:rsid w:val="16C21340"/>
    <w:rsid w:val="16C47616"/>
    <w:rsid w:val="16C740C5"/>
    <w:rsid w:val="16C80034"/>
    <w:rsid w:val="16D001FE"/>
    <w:rsid w:val="16D836B2"/>
    <w:rsid w:val="16D85958"/>
    <w:rsid w:val="16DB00D8"/>
    <w:rsid w:val="16DC57CC"/>
    <w:rsid w:val="16DF0094"/>
    <w:rsid w:val="16E03EED"/>
    <w:rsid w:val="16ED5E20"/>
    <w:rsid w:val="16F12924"/>
    <w:rsid w:val="16F93409"/>
    <w:rsid w:val="16FB40C0"/>
    <w:rsid w:val="16FE3DA9"/>
    <w:rsid w:val="16FF7E65"/>
    <w:rsid w:val="17020364"/>
    <w:rsid w:val="17027471"/>
    <w:rsid w:val="1703287C"/>
    <w:rsid w:val="17055657"/>
    <w:rsid w:val="170E62F7"/>
    <w:rsid w:val="17104088"/>
    <w:rsid w:val="171150E2"/>
    <w:rsid w:val="1712411F"/>
    <w:rsid w:val="171D3D6D"/>
    <w:rsid w:val="17216B0B"/>
    <w:rsid w:val="17223A8D"/>
    <w:rsid w:val="17237A1A"/>
    <w:rsid w:val="17261957"/>
    <w:rsid w:val="17276A9B"/>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52BBE"/>
    <w:rsid w:val="175F1F79"/>
    <w:rsid w:val="17607EDC"/>
    <w:rsid w:val="1761643B"/>
    <w:rsid w:val="176422D8"/>
    <w:rsid w:val="1765372D"/>
    <w:rsid w:val="1776290F"/>
    <w:rsid w:val="1778040D"/>
    <w:rsid w:val="177C4BFD"/>
    <w:rsid w:val="177E7C92"/>
    <w:rsid w:val="178C0BD8"/>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4297D"/>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B771D"/>
    <w:rsid w:val="1865027A"/>
    <w:rsid w:val="186A585C"/>
    <w:rsid w:val="186C0342"/>
    <w:rsid w:val="186E121C"/>
    <w:rsid w:val="187D0B92"/>
    <w:rsid w:val="18893D17"/>
    <w:rsid w:val="188D7FF5"/>
    <w:rsid w:val="189017D9"/>
    <w:rsid w:val="18966DD6"/>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3677B"/>
    <w:rsid w:val="18DA75CB"/>
    <w:rsid w:val="18DE12C3"/>
    <w:rsid w:val="18F81760"/>
    <w:rsid w:val="18FB7C71"/>
    <w:rsid w:val="1901692F"/>
    <w:rsid w:val="1906156A"/>
    <w:rsid w:val="190740B2"/>
    <w:rsid w:val="190B5294"/>
    <w:rsid w:val="19136FD5"/>
    <w:rsid w:val="191A4A7C"/>
    <w:rsid w:val="1929271F"/>
    <w:rsid w:val="192A4C95"/>
    <w:rsid w:val="19301657"/>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57E50"/>
    <w:rsid w:val="19683610"/>
    <w:rsid w:val="196B503A"/>
    <w:rsid w:val="197B7E89"/>
    <w:rsid w:val="197E0545"/>
    <w:rsid w:val="198A1403"/>
    <w:rsid w:val="198B4762"/>
    <w:rsid w:val="1991274D"/>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7084E"/>
    <w:rsid w:val="19E92B6A"/>
    <w:rsid w:val="19EC12FB"/>
    <w:rsid w:val="19EC30C6"/>
    <w:rsid w:val="19ED41CF"/>
    <w:rsid w:val="19F51FDF"/>
    <w:rsid w:val="1A0342E9"/>
    <w:rsid w:val="1A05603E"/>
    <w:rsid w:val="1A05712E"/>
    <w:rsid w:val="1A081E7F"/>
    <w:rsid w:val="1A0D0FEB"/>
    <w:rsid w:val="1A1E60F6"/>
    <w:rsid w:val="1A23285C"/>
    <w:rsid w:val="1A267DE8"/>
    <w:rsid w:val="1A2A4C26"/>
    <w:rsid w:val="1A2B2E21"/>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97051"/>
    <w:rsid w:val="1B0A221B"/>
    <w:rsid w:val="1B0A4D9C"/>
    <w:rsid w:val="1B0E7781"/>
    <w:rsid w:val="1B130214"/>
    <w:rsid w:val="1B13125B"/>
    <w:rsid w:val="1B135DAF"/>
    <w:rsid w:val="1B142AA1"/>
    <w:rsid w:val="1B2403B5"/>
    <w:rsid w:val="1B24304B"/>
    <w:rsid w:val="1B2E4F31"/>
    <w:rsid w:val="1B300A61"/>
    <w:rsid w:val="1B3421B2"/>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40F2B"/>
    <w:rsid w:val="1BB5784D"/>
    <w:rsid w:val="1BBE3FFF"/>
    <w:rsid w:val="1BC153A7"/>
    <w:rsid w:val="1BC57256"/>
    <w:rsid w:val="1BCF2B9F"/>
    <w:rsid w:val="1BD40808"/>
    <w:rsid w:val="1BD657AE"/>
    <w:rsid w:val="1BD977E2"/>
    <w:rsid w:val="1BDC1FDD"/>
    <w:rsid w:val="1BE00A01"/>
    <w:rsid w:val="1BEC6EEC"/>
    <w:rsid w:val="1BED382A"/>
    <w:rsid w:val="1BED7882"/>
    <w:rsid w:val="1BEF6A59"/>
    <w:rsid w:val="1BF01922"/>
    <w:rsid w:val="1C026BE2"/>
    <w:rsid w:val="1C027BFF"/>
    <w:rsid w:val="1C095057"/>
    <w:rsid w:val="1C0A570F"/>
    <w:rsid w:val="1C101CAA"/>
    <w:rsid w:val="1C10625F"/>
    <w:rsid w:val="1C145A58"/>
    <w:rsid w:val="1C152097"/>
    <w:rsid w:val="1C1B1718"/>
    <w:rsid w:val="1C1E632B"/>
    <w:rsid w:val="1C230D0E"/>
    <w:rsid w:val="1C243FC3"/>
    <w:rsid w:val="1C2A40BF"/>
    <w:rsid w:val="1C2E4B85"/>
    <w:rsid w:val="1C3B0B57"/>
    <w:rsid w:val="1C3B190C"/>
    <w:rsid w:val="1C3F2800"/>
    <w:rsid w:val="1C413299"/>
    <w:rsid w:val="1C4412A9"/>
    <w:rsid w:val="1C4A0EAE"/>
    <w:rsid w:val="1C4C6669"/>
    <w:rsid w:val="1C5039DB"/>
    <w:rsid w:val="1C505A77"/>
    <w:rsid w:val="1C586C59"/>
    <w:rsid w:val="1C69538F"/>
    <w:rsid w:val="1C704DD8"/>
    <w:rsid w:val="1C784DDC"/>
    <w:rsid w:val="1C8B6F58"/>
    <w:rsid w:val="1C8E320F"/>
    <w:rsid w:val="1C92272E"/>
    <w:rsid w:val="1C943CF8"/>
    <w:rsid w:val="1C9B225B"/>
    <w:rsid w:val="1C9F295C"/>
    <w:rsid w:val="1CA314EC"/>
    <w:rsid w:val="1CA3670A"/>
    <w:rsid w:val="1CA37E66"/>
    <w:rsid w:val="1CA56D52"/>
    <w:rsid w:val="1CA56DA8"/>
    <w:rsid w:val="1CA76806"/>
    <w:rsid w:val="1CAA1342"/>
    <w:rsid w:val="1CAB41A6"/>
    <w:rsid w:val="1CAF6C6F"/>
    <w:rsid w:val="1CB442D2"/>
    <w:rsid w:val="1CBF61DA"/>
    <w:rsid w:val="1CC628BB"/>
    <w:rsid w:val="1CC728DD"/>
    <w:rsid w:val="1CD00CD6"/>
    <w:rsid w:val="1CD51947"/>
    <w:rsid w:val="1CD540DC"/>
    <w:rsid w:val="1CDD29AB"/>
    <w:rsid w:val="1CDD2C02"/>
    <w:rsid w:val="1CDF6E20"/>
    <w:rsid w:val="1CF075BE"/>
    <w:rsid w:val="1CF13104"/>
    <w:rsid w:val="1CF67401"/>
    <w:rsid w:val="1CFC1E09"/>
    <w:rsid w:val="1CFD70FD"/>
    <w:rsid w:val="1D0073B6"/>
    <w:rsid w:val="1D0905C3"/>
    <w:rsid w:val="1D0C2DE2"/>
    <w:rsid w:val="1D180F51"/>
    <w:rsid w:val="1D1F2296"/>
    <w:rsid w:val="1D1F60BA"/>
    <w:rsid w:val="1D2740FC"/>
    <w:rsid w:val="1D2A48BA"/>
    <w:rsid w:val="1D2F6DCA"/>
    <w:rsid w:val="1D326D68"/>
    <w:rsid w:val="1D3569A3"/>
    <w:rsid w:val="1D36380C"/>
    <w:rsid w:val="1D3A022D"/>
    <w:rsid w:val="1D3F04B1"/>
    <w:rsid w:val="1D4511CA"/>
    <w:rsid w:val="1D472010"/>
    <w:rsid w:val="1D4804FB"/>
    <w:rsid w:val="1D527A15"/>
    <w:rsid w:val="1D560A9B"/>
    <w:rsid w:val="1D5B0EB0"/>
    <w:rsid w:val="1D5B3C6A"/>
    <w:rsid w:val="1D5D4A37"/>
    <w:rsid w:val="1D6357B5"/>
    <w:rsid w:val="1D63616E"/>
    <w:rsid w:val="1D6A6CD4"/>
    <w:rsid w:val="1D7661C3"/>
    <w:rsid w:val="1D77376F"/>
    <w:rsid w:val="1D7A174B"/>
    <w:rsid w:val="1D82010E"/>
    <w:rsid w:val="1D865F4E"/>
    <w:rsid w:val="1D872468"/>
    <w:rsid w:val="1D890FB7"/>
    <w:rsid w:val="1D8A0A49"/>
    <w:rsid w:val="1D945A29"/>
    <w:rsid w:val="1D9D3E81"/>
    <w:rsid w:val="1DA22D6E"/>
    <w:rsid w:val="1DA230E1"/>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EF3B14"/>
    <w:rsid w:val="1DF1284C"/>
    <w:rsid w:val="1DF71610"/>
    <w:rsid w:val="1DF87F5F"/>
    <w:rsid w:val="1DFB085F"/>
    <w:rsid w:val="1E0476BD"/>
    <w:rsid w:val="1E0568CD"/>
    <w:rsid w:val="1E0C6C93"/>
    <w:rsid w:val="1E110C6E"/>
    <w:rsid w:val="1E1379F8"/>
    <w:rsid w:val="1E1461B7"/>
    <w:rsid w:val="1E190EEC"/>
    <w:rsid w:val="1E1E03D3"/>
    <w:rsid w:val="1E2D4B90"/>
    <w:rsid w:val="1E2E1619"/>
    <w:rsid w:val="1E2F16AA"/>
    <w:rsid w:val="1E314C83"/>
    <w:rsid w:val="1E3B10FE"/>
    <w:rsid w:val="1E415F1B"/>
    <w:rsid w:val="1E50139B"/>
    <w:rsid w:val="1E563A89"/>
    <w:rsid w:val="1E5F17F6"/>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CA37EC"/>
    <w:rsid w:val="1ED409C9"/>
    <w:rsid w:val="1ED6317D"/>
    <w:rsid w:val="1EDE70CF"/>
    <w:rsid w:val="1EE37570"/>
    <w:rsid w:val="1EF7645D"/>
    <w:rsid w:val="1EFA0382"/>
    <w:rsid w:val="1F013EF9"/>
    <w:rsid w:val="1F0456EE"/>
    <w:rsid w:val="1F0D0F04"/>
    <w:rsid w:val="1F0D6E3F"/>
    <w:rsid w:val="1F0E131F"/>
    <w:rsid w:val="1F0F2F71"/>
    <w:rsid w:val="1F136E8C"/>
    <w:rsid w:val="1F1C6330"/>
    <w:rsid w:val="1F237A64"/>
    <w:rsid w:val="1F291073"/>
    <w:rsid w:val="1F364BA6"/>
    <w:rsid w:val="1F384946"/>
    <w:rsid w:val="1F3866FC"/>
    <w:rsid w:val="1F3C4B92"/>
    <w:rsid w:val="1F3E16A1"/>
    <w:rsid w:val="1F4734A0"/>
    <w:rsid w:val="1F486AE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052DA"/>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D7333"/>
    <w:rsid w:val="20125BCF"/>
    <w:rsid w:val="20173670"/>
    <w:rsid w:val="201B7586"/>
    <w:rsid w:val="201C3CA2"/>
    <w:rsid w:val="201D36E6"/>
    <w:rsid w:val="201F1A41"/>
    <w:rsid w:val="20246D32"/>
    <w:rsid w:val="20287CCA"/>
    <w:rsid w:val="202F7842"/>
    <w:rsid w:val="20360A34"/>
    <w:rsid w:val="203B0890"/>
    <w:rsid w:val="2044015A"/>
    <w:rsid w:val="2045520E"/>
    <w:rsid w:val="20460F3D"/>
    <w:rsid w:val="20465E04"/>
    <w:rsid w:val="204A2F6A"/>
    <w:rsid w:val="204C2882"/>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D1F92"/>
    <w:rsid w:val="209429B3"/>
    <w:rsid w:val="20950DEF"/>
    <w:rsid w:val="209A3615"/>
    <w:rsid w:val="20A0289C"/>
    <w:rsid w:val="20B44655"/>
    <w:rsid w:val="20B816A1"/>
    <w:rsid w:val="20B95BEF"/>
    <w:rsid w:val="20BC29D9"/>
    <w:rsid w:val="20C11D2A"/>
    <w:rsid w:val="20C26B56"/>
    <w:rsid w:val="20C776A9"/>
    <w:rsid w:val="20D45236"/>
    <w:rsid w:val="20D45CC6"/>
    <w:rsid w:val="20D47CF1"/>
    <w:rsid w:val="20D61FFA"/>
    <w:rsid w:val="20D67A4F"/>
    <w:rsid w:val="20DF7183"/>
    <w:rsid w:val="20EB0A2A"/>
    <w:rsid w:val="20ED6469"/>
    <w:rsid w:val="20EE326C"/>
    <w:rsid w:val="20F309B6"/>
    <w:rsid w:val="20F72E28"/>
    <w:rsid w:val="21005986"/>
    <w:rsid w:val="21010181"/>
    <w:rsid w:val="210B6618"/>
    <w:rsid w:val="2112462E"/>
    <w:rsid w:val="2116171A"/>
    <w:rsid w:val="211C31A4"/>
    <w:rsid w:val="211E0798"/>
    <w:rsid w:val="21206696"/>
    <w:rsid w:val="212129FF"/>
    <w:rsid w:val="21265A2D"/>
    <w:rsid w:val="212729A7"/>
    <w:rsid w:val="212A2ECF"/>
    <w:rsid w:val="212B3E0B"/>
    <w:rsid w:val="21300280"/>
    <w:rsid w:val="21300568"/>
    <w:rsid w:val="21346B77"/>
    <w:rsid w:val="213A482E"/>
    <w:rsid w:val="213F5F57"/>
    <w:rsid w:val="21424B5D"/>
    <w:rsid w:val="21440D01"/>
    <w:rsid w:val="214D5C25"/>
    <w:rsid w:val="214F78F2"/>
    <w:rsid w:val="21541887"/>
    <w:rsid w:val="215D104C"/>
    <w:rsid w:val="21630F95"/>
    <w:rsid w:val="216707D5"/>
    <w:rsid w:val="21700B44"/>
    <w:rsid w:val="217105A1"/>
    <w:rsid w:val="217C4BD1"/>
    <w:rsid w:val="21836424"/>
    <w:rsid w:val="2188225D"/>
    <w:rsid w:val="218F54BC"/>
    <w:rsid w:val="21921E6A"/>
    <w:rsid w:val="219531A4"/>
    <w:rsid w:val="2197160F"/>
    <w:rsid w:val="21976B9E"/>
    <w:rsid w:val="21A242AC"/>
    <w:rsid w:val="21A55461"/>
    <w:rsid w:val="21A81C19"/>
    <w:rsid w:val="21A924BE"/>
    <w:rsid w:val="21A965D7"/>
    <w:rsid w:val="21B27EAE"/>
    <w:rsid w:val="21B52953"/>
    <w:rsid w:val="21B85AD5"/>
    <w:rsid w:val="21B90F25"/>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37E5F"/>
    <w:rsid w:val="220639A6"/>
    <w:rsid w:val="22114C72"/>
    <w:rsid w:val="22121E7C"/>
    <w:rsid w:val="22162C71"/>
    <w:rsid w:val="221B68C5"/>
    <w:rsid w:val="22221E14"/>
    <w:rsid w:val="22286409"/>
    <w:rsid w:val="22290D5F"/>
    <w:rsid w:val="2232741B"/>
    <w:rsid w:val="223462B6"/>
    <w:rsid w:val="223463E7"/>
    <w:rsid w:val="223E469C"/>
    <w:rsid w:val="223F5B17"/>
    <w:rsid w:val="22426E3C"/>
    <w:rsid w:val="22470F04"/>
    <w:rsid w:val="2252733D"/>
    <w:rsid w:val="22537071"/>
    <w:rsid w:val="22552E4A"/>
    <w:rsid w:val="22565515"/>
    <w:rsid w:val="22571E6F"/>
    <w:rsid w:val="225900FF"/>
    <w:rsid w:val="225E4056"/>
    <w:rsid w:val="226436BF"/>
    <w:rsid w:val="226758E5"/>
    <w:rsid w:val="22692416"/>
    <w:rsid w:val="22790C8F"/>
    <w:rsid w:val="227E691F"/>
    <w:rsid w:val="227F29B7"/>
    <w:rsid w:val="229150BB"/>
    <w:rsid w:val="229A472F"/>
    <w:rsid w:val="22A76E5F"/>
    <w:rsid w:val="22AE201B"/>
    <w:rsid w:val="22AF27D5"/>
    <w:rsid w:val="22B414AA"/>
    <w:rsid w:val="22B41D89"/>
    <w:rsid w:val="22BB77FD"/>
    <w:rsid w:val="22BD44C5"/>
    <w:rsid w:val="22BF4862"/>
    <w:rsid w:val="22C1586D"/>
    <w:rsid w:val="22C27100"/>
    <w:rsid w:val="22CA16DE"/>
    <w:rsid w:val="22CB0049"/>
    <w:rsid w:val="22CD7FC8"/>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72FC7"/>
    <w:rsid w:val="23915B05"/>
    <w:rsid w:val="239A67F3"/>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42C8B"/>
    <w:rsid w:val="241C3505"/>
    <w:rsid w:val="241F2F86"/>
    <w:rsid w:val="24203BAA"/>
    <w:rsid w:val="242546AB"/>
    <w:rsid w:val="242E2EF3"/>
    <w:rsid w:val="24376E92"/>
    <w:rsid w:val="24382415"/>
    <w:rsid w:val="243E1494"/>
    <w:rsid w:val="24401ED3"/>
    <w:rsid w:val="24463F64"/>
    <w:rsid w:val="244C3178"/>
    <w:rsid w:val="245037AB"/>
    <w:rsid w:val="24525AE4"/>
    <w:rsid w:val="24544BFC"/>
    <w:rsid w:val="245868CE"/>
    <w:rsid w:val="246D35C3"/>
    <w:rsid w:val="246E1688"/>
    <w:rsid w:val="2474250F"/>
    <w:rsid w:val="247C4FC2"/>
    <w:rsid w:val="247C7D24"/>
    <w:rsid w:val="247E363A"/>
    <w:rsid w:val="247E632F"/>
    <w:rsid w:val="247E6E67"/>
    <w:rsid w:val="2480277A"/>
    <w:rsid w:val="24870E07"/>
    <w:rsid w:val="248B6D86"/>
    <w:rsid w:val="248B71BD"/>
    <w:rsid w:val="248E4F8B"/>
    <w:rsid w:val="24904055"/>
    <w:rsid w:val="24993FEC"/>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30119"/>
    <w:rsid w:val="24EB7C74"/>
    <w:rsid w:val="24EC4C92"/>
    <w:rsid w:val="24EE4DDC"/>
    <w:rsid w:val="24FD418E"/>
    <w:rsid w:val="250052D0"/>
    <w:rsid w:val="25020D7F"/>
    <w:rsid w:val="250C627A"/>
    <w:rsid w:val="250D152E"/>
    <w:rsid w:val="25151733"/>
    <w:rsid w:val="251554D8"/>
    <w:rsid w:val="25183DC1"/>
    <w:rsid w:val="251918D0"/>
    <w:rsid w:val="251F4CFE"/>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30ED4"/>
    <w:rsid w:val="257B6431"/>
    <w:rsid w:val="25806CCB"/>
    <w:rsid w:val="25843E5B"/>
    <w:rsid w:val="258B5C74"/>
    <w:rsid w:val="25935D8E"/>
    <w:rsid w:val="259F1CDA"/>
    <w:rsid w:val="259F793D"/>
    <w:rsid w:val="25A55AC8"/>
    <w:rsid w:val="25A66D58"/>
    <w:rsid w:val="25AC5370"/>
    <w:rsid w:val="25AC7500"/>
    <w:rsid w:val="25B12E79"/>
    <w:rsid w:val="25B64199"/>
    <w:rsid w:val="25B82EA5"/>
    <w:rsid w:val="25B969B9"/>
    <w:rsid w:val="25BD1153"/>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62E13"/>
    <w:rsid w:val="25F84250"/>
    <w:rsid w:val="260923F9"/>
    <w:rsid w:val="260B3174"/>
    <w:rsid w:val="261137F0"/>
    <w:rsid w:val="261229D1"/>
    <w:rsid w:val="261A14B6"/>
    <w:rsid w:val="261D31A9"/>
    <w:rsid w:val="26246E3B"/>
    <w:rsid w:val="26247714"/>
    <w:rsid w:val="262A73C0"/>
    <w:rsid w:val="262B52C5"/>
    <w:rsid w:val="262D78D8"/>
    <w:rsid w:val="262F3AEB"/>
    <w:rsid w:val="263A1E7C"/>
    <w:rsid w:val="263B5AEF"/>
    <w:rsid w:val="264278DB"/>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97C10"/>
    <w:rsid w:val="26CA2B3C"/>
    <w:rsid w:val="26D33170"/>
    <w:rsid w:val="26D85880"/>
    <w:rsid w:val="26DB0B1B"/>
    <w:rsid w:val="26DC2E6E"/>
    <w:rsid w:val="26DF7939"/>
    <w:rsid w:val="26E247B1"/>
    <w:rsid w:val="26E47B50"/>
    <w:rsid w:val="26F071B6"/>
    <w:rsid w:val="26F2185E"/>
    <w:rsid w:val="26FE350F"/>
    <w:rsid w:val="27027560"/>
    <w:rsid w:val="2703636B"/>
    <w:rsid w:val="27037A13"/>
    <w:rsid w:val="27074FAD"/>
    <w:rsid w:val="2712430E"/>
    <w:rsid w:val="27130684"/>
    <w:rsid w:val="27140812"/>
    <w:rsid w:val="27156F4C"/>
    <w:rsid w:val="271945C4"/>
    <w:rsid w:val="271D32C7"/>
    <w:rsid w:val="2721490A"/>
    <w:rsid w:val="272658FE"/>
    <w:rsid w:val="272B0B6C"/>
    <w:rsid w:val="272F5B33"/>
    <w:rsid w:val="27304E3B"/>
    <w:rsid w:val="273278B9"/>
    <w:rsid w:val="27352C28"/>
    <w:rsid w:val="274137B8"/>
    <w:rsid w:val="27436F3A"/>
    <w:rsid w:val="27443C03"/>
    <w:rsid w:val="27453A80"/>
    <w:rsid w:val="27464C4E"/>
    <w:rsid w:val="274E24A7"/>
    <w:rsid w:val="27507418"/>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C5EA0"/>
    <w:rsid w:val="27FE2E12"/>
    <w:rsid w:val="27FE7297"/>
    <w:rsid w:val="280665FC"/>
    <w:rsid w:val="2809779E"/>
    <w:rsid w:val="280A63DC"/>
    <w:rsid w:val="280D08C6"/>
    <w:rsid w:val="281031F7"/>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61709F"/>
    <w:rsid w:val="286E5E65"/>
    <w:rsid w:val="28720727"/>
    <w:rsid w:val="28731DF8"/>
    <w:rsid w:val="287F0A90"/>
    <w:rsid w:val="288544BD"/>
    <w:rsid w:val="2886532E"/>
    <w:rsid w:val="288F478B"/>
    <w:rsid w:val="289105F9"/>
    <w:rsid w:val="28962513"/>
    <w:rsid w:val="28966ED1"/>
    <w:rsid w:val="289B6E2B"/>
    <w:rsid w:val="28A475CD"/>
    <w:rsid w:val="28A51B02"/>
    <w:rsid w:val="28B4017A"/>
    <w:rsid w:val="28B51E6D"/>
    <w:rsid w:val="28BD05DE"/>
    <w:rsid w:val="28C15B72"/>
    <w:rsid w:val="28C52BB3"/>
    <w:rsid w:val="28CB554B"/>
    <w:rsid w:val="28CD52EA"/>
    <w:rsid w:val="28CF2CA7"/>
    <w:rsid w:val="28D62CC7"/>
    <w:rsid w:val="28D70028"/>
    <w:rsid w:val="28DB17E6"/>
    <w:rsid w:val="28DD3BE4"/>
    <w:rsid w:val="28DE6245"/>
    <w:rsid w:val="28E347CC"/>
    <w:rsid w:val="28EA0885"/>
    <w:rsid w:val="28EF1E8D"/>
    <w:rsid w:val="28F60D2F"/>
    <w:rsid w:val="28FF39FD"/>
    <w:rsid w:val="2905249B"/>
    <w:rsid w:val="29064E8D"/>
    <w:rsid w:val="290C3541"/>
    <w:rsid w:val="290E7A11"/>
    <w:rsid w:val="290F19FA"/>
    <w:rsid w:val="290F750B"/>
    <w:rsid w:val="29152A36"/>
    <w:rsid w:val="291B447E"/>
    <w:rsid w:val="29244DC0"/>
    <w:rsid w:val="2924662A"/>
    <w:rsid w:val="29274AB5"/>
    <w:rsid w:val="2928645C"/>
    <w:rsid w:val="29291E56"/>
    <w:rsid w:val="292C29EC"/>
    <w:rsid w:val="29304A2C"/>
    <w:rsid w:val="29487161"/>
    <w:rsid w:val="294966A8"/>
    <w:rsid w:val="294C7571"/>
    <w:rsid w:val="294E1304"/>
    <w:rsid w:val="294E505B"/>
    <w:rsid w:val="29522EF8"/>
    <w:rsid w:val="29532B1A"/>
    <w:rsid w:val="29566743"/>
    <w:rsid w:val="295709E8"/>
    <w:rsid w:val="2958159E"/>
    <w:rsid w:val="295B15DD"/>
    <w:rsid w:val="29673530"/>
    <w:rsid w:val="296F7076"/>
    <w:rsid w:val="29715025"/>
    <w:rsid w:val="298561B6"/>
    <w:rsid w:val="298C1A5A"/>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45228"/>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BF3C84"/>
    <w:rsid w:val="2AC12114"/>
    <w:rsid w:val="2AD03C7C"/>
    <w:rsid w:val="2AE56C4E"/>
    <w:rsid w:val="2AEE6BF5"/>
    <w:rsid w:val="2AEF1DBC"/>
    <w:rsid w:val="2AF940AB"/>
    <w:rsid w:val="2AFF2EB0"/>
    <w:rsid w:val="2AFF6246"/>
    <w:rsid w:val="2B061E16"/>
    <w:rsid w:val="2B0651DB"/>
    <w:rsid w:val="2B081CE2"/>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C3412C"/>
    <w:rsid w:val="2BC47F83"/>
    <w:rsid w:val="2BCD2333"/>
    <w:rsid w:val="2BCF6C34"/>
    <w:rsid w:val="2BD07A7B"/>
    <w:rsid w:val="2BD157A2"/>
    <w:rsid w:val="2BD56B76"/>
    <w:rsid w:val="2BD56CE3"/>
    <w:rsid w:val="2BE03D81"/>
    <w:rsid w:val="2BE314B3"/>
    <w:rsid w:val="2BE848F0"/>
    <w:rsid w:val="2BEC1B8B"/>
    <w:rsid w:val="2BEF1596"/>
    <w:rsid w:val="2BEF60D0"/>
    <w:rsid w:val="2BF43CAA"/>
    <w:rsid w:val="2BF63DB0"/>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F32E3"/>
    <w:rsid w:val="2C6F62D3"/>
    <w:rsid w:val="2C722827"/>
    <w:rsid w:val="2C73174E"/>
    <w:rsid w:val="2C7334B8"/>
    <w:rsid w:val="2C744FCD"/>
    <w:rsid w:val="2C7656AE"/>
    <w:rsid w:val="2C7A41E9"/>
    <w:rsid w:val="2C7E405A"/>
    <w:rsid w:val="2C8973E5"/>
    <w:rsid w:val="2C8A6F0B"/>
    <w:rsid w:val="2C8D3EE0"/>
    <w:rsid w:val="2C932127"/>
    <w:rsid w:val="2C9554A2"/>
    <w:rsid w:val="2C9C58AB"/>
    <w:rsid w:val="2CA7026F"/>
    <w:rsid w:val="2CAA115B"/>
    <w:rsid w:val="2CAA28C6"/>
    <w:rsid w:val="2CAA5EA4"/>
    <w:rsid w:val="2CB4069E"/>
    <w:rsid w:val="2CB83960"/>
    <w:rsid w:val="2CB9719D"/>
    <w:rsid w:val="2CBB1822"/>
    <w:rsid w:val="2CBE00EC"/>
    <w:rsid w:val="2CC63844"/>
    <w:rsid w:val="2CC823DB"/>
    <w:rsid w:val="2CDD7FEB"/>
    <w:rsid w:val="2CE1756B"/>
    <w:rsid w:val="2CE202D4"/>
    <w:rsid w:val="2CE20AFD"/>
    <w:rsid w:val="2CE914BE"/>
    <w:rsid w:val="2CEA0BBE"/>
    <w:rsid w:val="2CEB77E6"/>
    <w:rsid w:val="2CF03153"/>
    <w:rsid w:val="2CFE082A"/>
    <w:rsid w:val="2D03574C"/>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E76CE"/>
    <w:rsid w:val="2D6F7EEF"/>
    <w:rsid w:val="2D785D16"/>
    <w:rsid w:val="2D8A3565"/>
    <w:rsid w:val="2D92541C"/>
    <w:rsid w:val="2D9D3B10"/>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2131C"/>
    <w:rsid w:val="2DE3126E"/>
    <w:rsid w:val="2DE96ECA"/>
    <w:rsid w:val="2DEC361D"/>
    <w:rsid w:val="2DF40350"/>
    <w:rsid w:val="2DFD25D1"/>
    <w:rsid w:val="2DFD42E1"/>
    <w:rsid w:val="2DFE3435"/>
    <w:rsid w:val="2E0A5D42"/>
    <w:rsid w:val="2E1931E7"/>
    <w:rsid w:val="2E281711"/>
    <w:rsid w:val="2E421513"/>
    <w:rsid w:val="2E4222B5"/>
    <w:rsid w:val="2E540FD3"/>
    <w:rsid w:val="2E5962C8"/>
    <w:rsid w:val="2E596301"/>
    <w:rsid w:val="2E596FC7"/>
    <w:rsid w:val="2E5A68F4"/>
    <w:rsid w:val="2E5D1B8D"/>
    <w:rsid w:val="2E603C24"/>
    <w:rsid w:val="2E625789"/>
    <w:rsid w:val="2E63294B"/>
    <w:rsid w:val="2E6B30C9"/>
    <w:rsid w:val="2E6B37B5"/>
    <w:rsid w:val="2E731D91"/>
    <w:rsid w:val="2E825277"/>
    <w:rsid w:val="2E8A073B"/>
    <w:rsid w:val="2E8C1999"/>
    <w:rsid w:val="2E8D13AF"/>
    <w:rsid w:val="2E904A8A"/>
    <w:rsid w:val="2E997981"/>
    <w:rsid w:val="2EA12F6D"/>
    <w:rsid w:val="2EA91956"/>
    <w:rsid w:val="2EAC4449"/>
    <w:rsid w:val="2EB177AD"/>
    <w:rsid w:val="2EBA7E66"/>
    <w:rsid w:val="2EBF694E"/>
    <w:rsid w:val="2EC90753"/>
    <w:rsid w:val="2EC9758F"/>
    <w:rsid w:val="2ED30992"/>
    <w:rsid w:val="2ED671F3"/>
    <w:rsid w:val="2EDC56CA"/>
    <w:rsid w:val="2EE03EAF"/>
    <w:rsid w:val="2EE43EA0"/>
    <w:rsid w:val="2EEF19BC"/>
    <w:rsid w:val="2EF37BF0"/>
    <w:rsid w:val="2EFF46B2"/>
    <w:rsid w:val="2F0157E4"/>
    <w:rsid w:val="2F031F8F"/>
    <w:rsid w:val="2F0B15D4"/>
    <w:rsid w:val="2F0D0070"/>
    <w:rsid w:val="2F0D68BA"/>
    <w:rsid w:val="2F0E2111"/>
    <w:rsid w:val="2F0E59F5"/>
    <w:rsid w:val="2F0F6AFA"/>
    <w:rsid w:val="2F1A4DA6"/>
    <w:rsid w:val="2F234D05"/>
    <w:rsid w:val="2F2A789C"/>
    <w:rsid w:val="2F3249B1"/>
    <w:rsid w:val="2F3A42F6"/>
    <w:rsid w:val="2F464A98"/>
    <w:rsid w:val="2F48614F"/>
    <w:rsid w:val="2F487FE6"/>
    <w:rsid w:val="2F5173DD"/>
    <w:rsid w:val="2F530D2A"/>
    <w:rsid w:val="2F5B7BF2"/>
    <w:rsid w:val="2F5F4845"/>
    <w:rsid w:val="2F603581"/>
    <w:rsid w:val="2F6B7F93"/>
    <w:rsid w:val="2F726AD5"/>
    <w:rsid w:val="2F7441F6"/>
    <w:rsid w:val="2F772B20"/>
    <w:rsid w:val="2F7B1889"/>
    <w:rsid w:val="2F7B62F1"/>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065C"/>
    <w:rsid w:val="2FCA3E23"/>
    <w:rsid w:val="2FD10451"/>
    <w:rsid w:val="2FD163D8"/>
    <w:rsid w:val="2FD860F5"/>
    <w:rsid w:val="2FDF2921"/>
    <w:rsid w:val="2FE46613"/>
    <w:rsid w:val="2FE642B3"/>
    <w:rsid w:val="2FEB2174"/>
    <w:rsid w:val="300663FF"/>
    <w:rsid w:val="30086A93"/>
    <w:rsid w:val="300D55ED"/>
    <w:rsid w:val="300D7B1B"/>
    <w:rsid w:val="300F21EC"/>
    <w:rsid w:val="300F767A"/>
    <w:rsid w:val="30176BA2"/>
    <w:rsid w:val="301B4680"/>
    <w:rsid w:val="30201EEF"/>
    <w:rsid w:val="302719FF"/>
    <w:rsid w:val="302722EF"/>
    <w:rsid w:val="30293768"/>
    <w:rsid w:val="30341BB0"/>
    <w:rsid w:val="303620E5"/>
    <w:rsid w:val="303D0DE2"/>
    <w:rsid w:val="303E7772"/>
    <w:rsid w:val="30436446"/>
    <w:rsid w:val="30464DB9"/>
    <w:rsid w:val="304B2C4A"/>
    <w:rsid w:val="305008C1"/>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AE241F"/>
    <w:rsid w:val="30B001DD"/>
    <w:rsid w:val="30B11949"/>
    <w:rsid w:val="30B47501"/>
    <w:rsid w:val="30C31A45"/>
    <w:rsid w:val="30C71F2B"/>
    <w:rsid w:val="30C76CBF"/>
    <w:rsid w:val="30DC42AB"/>
    <w:rsid w:val="30E068F9"/>
    <w:rsid w:val="30EF2653"/>
    <w:rsid w:val="310E5B69"/>
    <w:rsid w:val="311108E9"/>
    <w:rsid w:val="31130B1C"/>
    <w:rsid w:val="31143422"/>
    <w:rsid w:val="3114758B"/>
    <w:rsid w:val="31177D87"/>
    <w:rsid w:val="312008C2"/>
    <w:rsid w:val="31241CD6"/>
    <w:rsid w:val="312A3D0F"/>
    <w:rsid w:val="312D6D92"/>
    <w:rsid w:val="31311AA0"/>
    <w:rsid w:val="313344AE"/>
    <w:rsid w:val="314A732D"/>
    <w:rsid w:val="315B288C"/>
    <w:rsid w:val="315F34F5"/>
    <w:rsid w:val="31625BD9"/>
    <w:rsid w:val="3165203B"/>
    <w:rsid w:val="31692C25"/>
    <w:rsid w:val="31731696"/>
    <w:rsid w:val="317675CF"/>
    <w:rsid w:val="31802145"/>
    <w:rsid w:val="31846B58"/>
    <w:rsid w:val="318648B5"/>
    <w:rsid w:val="31864A48"/>
    <w:rsid w:val="318B5416"/>
    <w:rsid w:val="31944DBD"/>
    <w:rsid w:val="319E0737"/>
    <w:rsid w:val="31A65BAC"/>
    <w:rsid w:val="31AA69D6"/>
    <w:rsid w:val="31AD308F"/>
    <w:rsid w:val="31AE79E0"/>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3F561E"/>
    <w:rsid w:val="32444893"/>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11F5D"/>
    <w:rsid w:val="32D71D96"/>
    <w:rsid w:val="32D965B1"/>
    <w:rsid w:val="32DE0520"/>
    <w:rsid w:val="32DE651E"/>
    <w:rsid w:val="32E97B15"/>
    <w:rsid w:val="32EB3D2E"/>
    <w:rsid w:val="32F92807"/>
    <w:rsid w:val="330438C3"/>
    <w:rsid w:val="330745A8"/>
    <w:rsid w:val="330825B3"/>
    <w:rsid w:val="33092F71"/>
    <w:rsid w:val="330E2CB4"/>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0BF2"/>
    <w:rsid w:val="33533AA9"/>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7216"/>
    <w:rsid w:val="3378211E"/>
    <w:rsid w:val="337D1A35"/>
    <w:rsid w:val="33804C38"/>
    <w:rsid w:val="33886CEE"/>
    <w:rsid w:val="33915561"/>
    <w:rsid w:val="33952B15"/>
    <w:rsid w:val="33953748"/>
    <w:rsid w:val="339D641B"/>
    <w:rsid w:val="339F747C"/>
    <w:rsid w:val="33A41288"/>
    <w:rsid w:val="33A75E06"/>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260F2"/>
    <w:rsid w:val="341544AE"/>
    <w:rsid w:val="3416587E"/>
    <w:rsid w:val="341A0662"/>
    <w:rsid w:val="341E3E6B"/>
    <w:rsid w:val="34236595"/>
    <w:rsid w:val="342848DD"/>
    <w:rsid w:val="342B013D"/>
    <w:rsid w:val="342C7CD4"/>
    <w:rsid w:val="34365D0F"/>
    <w:rsid w:val="343E3F00"/>
    <w:rsid w:val="34421727"/>
    <w:rsid w:val="34455BD8"/>
    <w:rsid w:val="344E45AD"/>
    <w:rsid w:val="34537A00"/>
    <w:rsid w:val="345718EB"/>
    <w:rsid w:val="34584277"/>
    <w:rsid w:val="345A74D7"/>
    <w:rsid w:val="34623C2F"/>
    <w:rsid w:val="346605B2"/>
    <w:rsid w:val="346E280F"/>
    <w:rsid w:val="346E701E"/>
    <w:rsid w:val="3473163B"/>
    <w:rsid w:val="3475716B"/>
    <w:rsid w:val="34772E9F"/>
    <w:rsid w:val="347D6B7F"/>
    <w:rsid w:val="347F6999"/>
    <w:rsid w:val="3492319E"/>
    <w:rsid w:val="34931F95"/>
    <w:rsid w:val="34B1369F"/>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1F48A5"/>
    <w:rsid w:val="352A3AE7"/>
    <w:rsid w:val="352A6E5A"/>
    <w:rsid w:val="353314EE"/>
    <w:rsid w:val="35352995"/>
    <w:rsid w:val="353778DA"/>
    <w:rsid w:val="35416709"/>
    <w:rsid w:val="3542277B"/>
    <w:rsid w:val="354271B8"/>
    <w:rsid w:val="35515024"/>
    <w:rsid w:val="35523D07"/>
    <w:rsid w:val="3555395C"/>
    <w:rsid w:val="355C7676"/>
    <w:rsid w:val="35610626"/>
    <w:rsid w:val="35637F84"/>
    <w:rsid w:val="356765EC"/>
    <w:rsid w:val="3576224E"/>
    <w:rsid w:val="35791A73"/>
    <w:rsid w:val="357B16BE"/>
    <w:rsid w:val="357C5321"/>
    <w:rsid w:val="357D1145"/>
    <w:rsid w:val="358111E8"/>
    <w:rsid w:val="358C7FEB"/>
    <w:rsid w:val="3592406A"/>
    <w:rsid w:val="359C1D12"/>
    <w:rsid w:val="359E0193"/>
    <w:rsid w:val="35A13235"/>
    <w:rsid w:val="35A27A3D"/>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57172"/>
    <w:rsid w:val="36062003"/>
    <w:rsid w:val="36075703"/>
    <w:rsid w:val="36165A98"/>
    <w:rsid w:val="361D4745"/>
    <w:rsid w:val="361E4A68"/>
    <w:rsid w:val="361E4BCF"/>
    <w:rsid w:val="361F359F"/>
    <w:rsid w:val="362029EC"/>
    <w:rsid w:val="36277F15"/>
    <w:rsid w:val="362C44AF"/>
    <w:rsid w:val="364074D3"/>
    <w:rsid w:val="36433B1B"/>
    <w:rsid w:val="36474B7A"/>
    <w:rsid w:val="364D533A"/>
    <w:rsid w:val="364E74AA"/>
    <w:rsid w:val="364F2ABA"/>
    <w:rsid w:val="364F7FB6"/>
    <w:rsid w:val="365426B9"/>
    <w:rsid w:val="36547E5A"/>
    <w:rsid w:val="36552A5E"/>
    <w:rsid w:val="365B748F"/>
    <w:rsid w:val="365D18E5"/>
    <w:rsid w:val="3661561B"/>
    <w:rsid w:val="36631581"/>
    <w:rsid w:val="36715F50"/>
    <w:rsid w:val="36767FA0"/>
    <w:rsid w:val="367949C1"/>
    <w:rsid w:val="367C0A30"/>
    <w:rsid w:val="367C1CB9"/>
    <w:rsid w:val="367D1308"/>
    <w:rsid w:val="367E6C51"/>
    <w:rsid w:val="368010F6"/>
    <w:rsid w:val="3689641E"/>
    <w:rsid w:val="368E7CA9"/>
    <w:rsid w:val="369464A6"/>
    <w:rsid w:val="36985ABF"/>
    <w:rsid w:val="36991D1F"/>
    <w:rsid w:val="369B322E"/>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B81"/>
    <w:rsid w:val="36F62C74"/>
    <w:rsid w:val="36FB257D"/>
    <w:rsid w:val="3705353A"/>
    <w:rsid w:val="370778E1"/>
    <w:rsid w:val="370A62C5"/>
    <w:rsid w:val="37110637"/>
    <w:rsid w:val="37126926"/>
    <w:rsid w:val="37142C90"/>
    <w:rsid w:val="37186085"/>
    <w:rsid w:val="37207A5E"/>
    <w:rsid w:val="37277F10"/>
    <w:rsid w:val="372D4141"/>
    <w:rsid w:val="372D5E85"/>
    <w:rsid w:val="37316255"/>
    <w:rsid w:val="373A7A98"/>
    <w:rsid w:val="373B0631"/>
    <w:rsid w:val="373E57E6"/>
    <w:rsid w:val="37497D6C"/>
    <w:rsid w:val="3750226C"/>
    <w:rsid w:val="37502818"/>
    <w:rsid w:val="375127CE"/>
    <w:rsid w:val="37513D01"/>
    <w:rsid w:val="37535CB6"/>
    <w:rsid w:val="375C30D2"/>
    <w:rsid w:val="376C5889"/>
    <w:rsid w:val="376D30B7"/>
    <w:rsid w:val="376F3C3D"/>
    <w:rsid w:val="37777509"/>
    <w:rsid w:val="37782D0E"/>
    <w:rsid w:val="377A2230"/>
    <w:rsid w:val="377D5303"/>
    <w:rsid w:val="37825324"/>
    <w:rsid w:val="378B0327"/>
    <w:rsid w:val="378E0749"/>
    <w:rsid w:val="37961346"/>
    <w:rsid w:val="379824C0"/>
    <w:rsid w:val="379B4AF2"/>
    <w:rsid w:val="379C1DA9"/>
    <w:rsid w:val="379E42CB"/>
    <w:rsid w:val="37A5676A"/>
    <w:rsid w:val="37A6689F"/>
    <w:rsid w:val="37A7162E"/>
    <w:rsid w:val="37A9641A"/>
    <w:rsid w:val="37AC7283"/>
    <w:rsid w:val="37AD2485"/>
    <w:rsid w:val="37B4362A"/>
    <w:rsid w:val="37B8335E"/>
    <w:rsid w:val="37B85875"/>
    <w:rsid w:val="37C144CC"/>
    <w:rsid w:val="37C73B14"/>
    <w:rsid w:val="37C768E5"/>
    <w:rsid w:val="37C830DF"/>
    <w:rsid w:val="37D05D39"/>
    <w:rsid w:val="37D10CB9"/>
    <w:rsid w:val="37D92777"/>
    <w:rsid w:val="37F2418D"/>
    <w:rsid w:val="3803718F"/>
    <w:rsid w:val="38091FFF"/>
    <w:rsid w:val="3809520B"/>
    <w:rsid w:val="380F6701"/>
    <w:rsid w:val="38124A9D"/>
    <w:rsid w:val="38204A20"/>
    <w:rsid w:val="38241F4A"/>
    <w:rsid w:val="382474BE"/>
    <w:rsid w:val="38310D30"/>
    <w:rsid w:val="38465EFC"/>
    <w:rsid w:val="38470572"/>
    <w:rsid w:val="38487E16"/>
    <w:rsid w:val="384C45B5"/>
    <w:rsid w:val="38507266"/>
    <w:rsid w:val="38527B50"/>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33F35"/>
    <w:rsid w:val="38AA3E53"/>
    <w:rsid w:val="38AB3864"/>
    <w:rsid w:val="38AE6A06"/>
    <w:rsid w:val="38B26579"/>
    <w:rsid w:val="38B73B4E"/>
    <w:rsid w:val="38C167A3"/>
    <w:rsid w:val="38CC71AC"/>
    <w:rsid w:val="38CD20AE"/>
    <w:rsid w:val="38D111F2"/>
    <w:rsid w:val="38D866AB"/>
    <w:rsid w:val="38D93641"/>
    <w:rsid w:val="38E44E18"/>
    <w:rsid w:val="38E70119"/>
    <w:rsid w:val="38EB4F83"/>
    <w:rsid w:val="38EF3677"/>
    <w:rsid w:val="38F078C9"/>
    <w:rsid w:val="38F411C8"/>
    <w:rsid w:val="38F41668"/>
    <w:rsid w:val="38FB6D1F"/>
    <w:rsid w:val="38FD5337"/>
    <w:rsid w:val="39023DA3"/>
    <w:rsid w:val="390B0C61"/>
    <w:rsid w:val="390F1D65"/>
    <w:rsid w:val="391026AC"/>
    <w:rsid w:val="391277EC"/>
    <w:rsid w:val="391A61CF"/>
    <w:rsid w:val="391B59AB"/>
    <w:rsid w:val="392819C0"/>
    <w:rsid w:val="393244B6"/>
    <w:rsid w:val="39355B2F"/>
    <w:rsid w:val="393A22B3"/>
    <w:rsid w:val="393B038D"/>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87A03"/>
    <w:rsid w:val="398D258D"/>
    <w:rsid w:val="398D4DF9"/>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A003BFB"/>
    <w:rsid w:val="3A0112A2"/>
    <w:rsid w:val="3A0409BB"/>
    <w:rsid w:val="3A051F41"/>
    <w:rsid w:val="3A054A83"/>
    <w:rsid w:val="3A107A70"/>
    <w:rsid w:val="3A1C5DFA"/>
    <w:rsid w:val="3A1E5C85"/>
    <w:rsid w:val="3A227A56"/>
    <w:rsid w:val="3A344169"/>
    <w:rsid w:val="3A3530C5"/>
    <w:rsid w:val="3A3F063C"/>
    <w:rsid w:val="3A427FBB"/>
    <w:rsid w:val="3A497F4C"/>
    <w:rsid w:val="3A4C1715"/>
    <w:rsid w:val="3A5F0343"/>
    <w:rsid w:val="3A60190A"/>
    <w:rsid w:val="3A630CF7"/>
    <w:rsid w:val="3A650C30"/>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D4A23"/>
    <w:rsid w:val="3ADF6377"/>
    <w:rsid w:val="3AE1451D"/>
    <w:rsid w:val="3AE52C73"/>
    <w:rsid w:val="3AE66C68"/>
    <w:rsid w:val="3AED7403"/>
    <w:rsid w:val="3AEF57AB"/>
    <w:rsid w:val="3AF72D01"/>
    <w:rsid w:val="3AF851C8"/>
    <w:rsid w:val="3AFA65B6"/>
    <w:rsid w:val="3B0537E4"/>
    <w:rsid w:val="3B05660E"/>
    <w:rsid w:val="3B067205"/>
    <w:rsid w:val="3B12379B"/>
    <w:rsid w:val="3B194589"/>
    <w:rsid w:val="3B1F7B05"/>
    <w:rsid w:val="3B210401"/>
    <w:rsid w:val="3B226B5E"/>
    <w:rsid w:val="3B2811AE"/>
    <w:rsid w:val="3B2819AB"/>
    <w:rsid w:val="3B3555B5"/>
    <w:rsid w:val="3B374BB8"/>
    <w:rsid w:val="3B3971E7"/>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B5766"/>
    <w:rsid w:val="3C2C41E6"/>
    <w:rsid w:val="3C2F7FAA"/>
    <w:rsid w:val="3C313CBE"/>
    <w:rsid w:val="3C3D7B62"/>
    <w:rsid w:val="3C4063BD"/>
    <w:rsid w:val="3C4C3D85"/>
    <w:rsid w:val="3C4D6B5C"/>
    <w:rsid w:val="3C4F0273"/>
    <w:rsid w:val="3C5532AC"/>
    <w:rsid w:val="3C5775B8"/>
    <w:rsid w:val="3C64429D"/>
    <w:rsid w:val="3C651B5F"/>
    <w:rsid w:val="3C6B6A77"/>
    <w:rsid w:val="3C6D5054"/>
    <w:rsid w:val="3C6E2922"/>
    <w:rsid w:val="3C705F26"/>
    <w:rsid w:val="3C753109"/>
    <w:rsid w:val="3C7D236C"/>
    <w:rsid w:val="3C914E1A"/>
    <w:rsid w:val="3C961419"/>
    <w:rsid w:val="3CA12CEA"/>
    <w:rsid w:val="3CA1514C"/>
    <w:rsid w:val="3CA40A32"/>
    <w:rsid w:val="3CAE61AF"/>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C28B1"/>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CE7D8D"/>
    <w:rsid w:val="3DD07EF0"/>
    <w:rsid w:val="3DD20BEC"/>
    <w:rsid w:val="3DD40FC9"/>
    <w:rsid w:val="3DD73E2E"/>
    <w:rsid w:val="3DD80FBA"/>
    <w:rsid w:val="3DD847EF"/>
    <w:rsid w:val="3DE54197"/>
    <w:rsid w:val="3DE66CAD"/>
    <w:rsid w:val="3DEC2125"/>
    <w:rsid w:val="3DED756C"/>
    <w:rsid w:val="3DED75BC"/>
    <w:rsid w:val="3DF57E83"/>
    <w:rsid w:val="3DFB714F"/>
    <w:rsid w:val="3E0179CF"/>
    <w:rsid w:val="3E05565D"/>
    <w:rsid w:val="3E09196F"/>
    <w:rsid w:val="3E0E3CD1"/>
    <w:rsid w:val="3E104B56"/>
    <w:rsid w:val="3E11500B"/>
    <w:rsid w:val="3E121C70"/>
    <w:rsid w:val="3E153ADD"/>
    <w:rsid w:val="3E1541A9"/>
    <w:rsid w:val="3E1C416D"/>
    <w:rsid w:val="3E1F13F2"/>
    <w:rsid w:val="3E2B0F56"/>
    <w:rsid w:val="3E315C9A"/>
    <w:rsid w:val="3E3232D4"/>
    <w:rsid w:val="3E376525"/>
    <w:rsid w:val="3E3C0B32"/>
    <w:rsid w:val="3E5474EE"/>
    <w:rsid w:val="3E561963"/>
    <w:rsid w:val="3E5810F2"/>
    <w:rsid w:val="3E5862A3"/>
    <w:rsid w:val="3E587FD1"/>
    <w:rsid w:val="3E5B55F7"/>
    <w:rsid w:val="3E5D3F45"/>
    <w:rsid w:val="3E5E07CE"/>
    <w:rsid w:val="3E634872"/>
    <w:rsid w:val="3E6D3C29"/>
    <w:rsid w:val="3E706685"/>
    <w:rsid w:val="3E7562ED"/>
    <w:rsid w:val="3E761C95"/>
    <w:rsid w:val="3E773241"/>
    <w:rsid w:val="3E780CD4"/>
    <w:rsid w:val="3E791298"/>
    <w:rsid w:val="3E7B597C"/>
    <w:rsid w:val="3E7D3EE4"/>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12306"/>
    <w:rsid w:val="3EEB1CC3"/>
    <w:rsid w:val="3EEB5FB9"/>
    <w:rsid w:val="3EF54409"/>
    <w:rsid w:val="3EF742CC"/>
    <w:rsid w:val="3EF7613F"/>
    <w:rsid w:val="3EFE037D"/>
    <w:rsid w:val="3F065EFD"/>
    <w:rsid w:val="3F097060"/>
    <w:rsid w:val="3F0A2C69"/>
    <w:rsid w:val="3F1025F5"/>
    <w:rsid w:val="3F176143"/>
    <w:rsid w:val="3F1C451C"/>
    <w:rsid w:val="3F1E7746"/>
    <w:rsid w:val="3F1F5570"/>
    <w:rsid w:val="3F237C44"/>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A32BF"/>
    <w:rsid w:val="3FBB214E"/>
    <w:rsid w:val="3FC05D9C"/>
    <w:rsid w:val="3FC55E1B"/>
    <w:rsid w:val="3FC5687C"/>
    <w:rsid w:val="3FC72CB0"/>
    <w:rsid w:val="3FC76C8B"/>
    <w:rsid w:val="3FCF23DD"/>
    <w:rsid w:val="3FD53B10"/>
    <w:rsid w:val="3FDE0824"/>
    <w:rsid w:val="3FE55521"/>
    <w:rsid w:val="3FE87344"/>
    <w:rsid w:val="3FEC092A"/>
    <w:rsid w:val="3FED59DB"/>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11593"/>
    <w:rsid w:val="4049221A"/>
    <w:rsid w:val="404A0209"/>
    <w:rsid w:val="404A2F89"/>
    <w:rsid w:val="40595714"/>
    <w:rsid w:val="406177D9"/>
    <w:rsid w:val="40635377"/>
    <w:rsid w:val="406A3621"/>
    <w:rsid w:val="407066C3"/>
    <w:rsid w:val="40775EFD"/>
    <w:rsid w:val="407A080F"/>
    <w:rsid w:val="407B3D06"/>
    <w:rsid w:val="40844021"/>
    <w:rsid w:val="408604AB"/>
    <w:rsid w:val="40891323"/>
    <w:rsid w:val="408F6C4D"/>
    <w:rsid w:val="40924A6B"/>
    <w:rsid w:val="409272DD"/>
    <w:rsid w:val="4097144A"/>
    <w:rsid w:val="40A27041"/>
    <w:rsid w:val="40A42B26"/>
    <w:rsid w:val="40A84378"/>
    <w:rsid w:val="40AB4BB4"/>
    <w:rsid w:val="40B24A84"/>
    <w:rsid w:val="40BB567D"/>
    <w:rsid w:val="40BF2A94"/>
    <w:rsid w:val="40C103B9"/>
    <w:rsid w:val="40C633D4"/>
    <w:rsid w:val="40C7688B"/>
    <w:rsid w:val="40CD1B60"/>
    <w:rsid w:val="40DF4097"/>
    <w:rsid w:val="40E55E1D"/>
    <w:rsid w:val="40E745F9"/>
    <w:rsid w:val="40EA073F"/>
    <w:rsid w:val="40EB1A84"/>
    <w:rsid w:val="40EC4B5C"/>
    <w:rsid w:val="40F2798F"/>
    <w:rsid w:val="40FC7A59"/>
    <w:rsid w:val="40FD313A"/>
    <w:rsid w:val="40FE53E8"/>
    <w:rsid w:val="41002236"/>
    <w:rsid w:val="41004331"/>
    <w:rsid w:val="410814CC"/>
    <w:rsid w:val="41090D7C"/>
    <w:rsid w:val="410A0556"/>
    <w:rsid w:val="410F2F53"/>
    <w:rsid w:val="411772FD"/>
    <w:rsid w:val="411B0CCA"/>
    <w:rsid w:val="411B1C5A"/>
    <w:rsid w:val="411B75C9"/>
    <w:rsid w:val="411C226A"/>
    <w:rsid w:val="412628C0"/>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C1602"/>
    <w:rsid w:val="41AC37E7"/>
    <w:rsid w:val="41AD27F9"/>
    <w:rsid w:val="41AE1A67"/>
    <w:rsid w:val="41B019C7"/>
    <w:rsid w:val="41B514A9"/>
    <w:rsid w:val="41B61AB1"/>
    <w:rsid w:val="41C12AA3"/>
    <w:rsid w:val="41C46E77"/>
    <w:rsid w:val="41D8108E"/>
    <w:rsid w:val="41D87523"/>
    <w:rsid w:val="41D91076"/>
    <w:rsid w:val="41DF2F70"/>
    <w:rsid w:val="41E224AE"/>
    <w:rsid w:val="41E756B0"/>
    <w:rsid w:val="41E971DB"/>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4D1"/>
    <w:rsid w:val="42556E2A"/>
    <w:rsid w:val="425C3316"/>
    <w:rsid w:val="4260192E"/>
    <w:rsid w:val="42657B3C"/>
    <w:rsid w:val="426657ED"/>
    <w:rsid w:val="42674397"/>
    <w:rsid w:val="427255DF"/>
    <w:rsid w:val="42745137"/>
    <w:rsid w:val="4275131E"/>
    <w:rsid w:val="427671A6"/>
    <w:rsid w:val="427862CE"/>
    <w:rsid w:val="427A15D7"/>
    <w:rsid w:val="427A1877"/>
    <w:rsid w:val="428E6083"/>
    <w:rsid w:val="42927CE2"/>
    <w:rsid w:val="42930521"/>
    <w:rsid w:val="4293642B"/>
    <w:rsid w:val="429424E9"/>
    <w:rsid w:val="429432BC"/>
    <w:rsid w:val="42987C47"/>
    <w:rsid w:val="429954E1"/>
    <w:rsid w:val="429B133F"/>
    <w:rsid w:val="42A01808"/>
    <w:rsid w:val="42A96C3F"/>
    <w:rsid w:val="42B04AEA"/>
    <w:rsid w:val="42B417D7"/>
    <w:rsid w:val="42B647BB"/>
    <w:rsid w:val="42BE0042"/>
    <w:rsid w:val="42BE2EFB"/>
    <w:rsid w:val="42BE495B"/>
    <w:rsid w:val="42D849EE"/>
    <w:rsid w:val="42DC3029"/>
    <w:rsid w:val="42DC5A8C"/>
    <w:rsid w:val="42DD0067"/>
    <w:rsid w:val="42E0029F"/>
    <w:rsid w:val="42E360DE"/>
    <w:rsid w:val="42E502F5"/>
    <w:rsid w:val="42E87402"/>
    <w:rsid w:val="42EB6D52"/>
    <w:rsid w:val="43021632"/>
    <w:rsid w:val="43072A65"/>
    <w:rsid w:val="43092E10"/>
    <w:rsid w:val="430A27B3"/>
    <w:rsid w:val="430B5D6E"/>
    <w:rsid w:val="431049B1"/>
    <w:rsid w:val="431B3898"/>
    <w:rsid w:val="4322345A"/>
    <w:rsid w:val="43231966"/>
    <w:rsid w:val="43232B12"/>
    <w:rsid w:val="43273F04"/>
    <w:rsid w:val="432A7A55"/>
    <w:rsid w:val="43332BD3"/>
    <w:rsid w:val="43367CDF"/>
    <w:rsid w:val="433E6455"/>
    <w:rsid w:val="434425F8"/>
    <w:rsid w:val="4345760E"/>
    <w:rsid w:val="434677FF"/>
    <w:rsid w:val="43496B59"/>
    <w:rsid w:val="43596015"/>
    <w:rsid w:val="435B4BE5"/>
    <w:rsid w:val="4360500C"/>
    <w:rsid w:val="436073DA"/>
    <w:rsid w:val="43695BEA"/>
    <w:rsid w:val="436971F6"/>
    <w:rsid w:val="436D13EF"/>
    <w:rsid w:val="436E482F"/>
    <w:rsid w:val="436F1955"/>
    <w:rsid w:val="437C7469"/>
    <w:rsid w:val="437D16BC"/>
    <w:rsid w:val="437F682E"/>
    <w:rsid w:val="43870627"/>
    <w:rsid w:val="438D7B84"/>
    <w:rsid w:val="438F0B98"/>
    <w:rsid w:val="439033AD"/>
    <w:rsid w:val="439926C0"/>
    <w:rsid w:val="439D2829"/>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90650"/>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3596C"/>
    <w:rsid w:val="450543DD"/>
    <w:rsid w:val="45063626"/>
    <w:rsid w:val="45080159"/>
    <w:rsid w:val="450B5A65"/>
    <w:rsid w:val="450B69FC"/>
    <w:rsid w:val="4511635D"/>
    <w:rsid w:val="45124457"/>
    <w:rsid w:val="451674B2"/>
    <w:rsid w:val="45194282"/>
    <w:rsid w:val="451E50C5"/>
    <w:rsid w:val="45207276"/>
    <w:rsid w:val="452C152E"/>
    <w:rsid w:val="452D4B53"/>
    <w:rsid w:val="452F0DD6"/>
    <w:rsid w:val="453153BC"/>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45408"/>
    <w:rsid w:val="45953886"/>
    <w:rsid w:val="4596641A"/>
    <w:rsid w:val="459A5728"/>
    <w:rsid w:val="45A806FF"/>
    <w:rsid w:val="45AE4807"/>
    <w:rsid w:val="45B81980"/>
    <w:rsid w:val="45BB5877"/>
    <w:rsid w:val="45C0090A"/>
    <w:rsid w:val="45C2287C"/>
    <w:rsid w:val="45C647F0"/>
    <w:rsid w:val="45CB1DBD"/>
    <w:rsid w:val="45D13678"/>
    <w:rsid w:val="45E3280A"/>
    <w:rsid w:val="45F46BD5"/>
    <w:rsid w:val="45F9658B"/>
    <w:rsid w:val="460901E2"/>
    <w:rsid w:val="460E70F2"/>
    <w:rsid w:val="46300ECC"/>
    <w:rsid w:val="46333D16"/>
    <w:rsid w:val="46340BB8"/>
    <w:rsid w:val="463A512E"/>
    <w:rsid w:val="463D1728"/>
    <w:rsid w:val="46472534"/>
    <w:rsid w:val="464B1BCE"/>
    <w:rsid w:val="465A3C55"/>
    <w:rsid w:val="465E45BA"/>
    <w:rsid w:val="465E4A48"/>
    <w:rsid w:val="46601C9C"/>
    <w:rsid w:val="466615E3"/>
    <w:rsid w:val="466D0B7B"/>
    <w:rsid w:val="468B66C1"/>
    <w:rsid w:val="469400A8"/>
    <w:rsid w:val="46953C13"/>
    <w:rsid w:val="469B557F"/>
    <w:rsid w:val="469B5775"/>
    <w:rsid w:val="46A15B02"/>
    <w:rsid w:val="46A47094"/>
    <w:rsid w:val="46AB0B09"/>
    <w:rsid w:val="46AD3657"/>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068CA"/>
    <w:rsid w:val="4712134D"/>
    <w:rsid w:val="471221B2"/>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753A8"/>
    <w:rsid w:val="47586FED"/>
    <w:rsid w:val="476068F1"/>
    <w:rsid w:val="47641EB1"/>
    <w:rsid w:val="476A715B"/>
    <w:rsid w:val="476B4434"/>
    <w:rsid w:val="476D46DE"/>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AF33C3"/>
    <w:rsid w:val="47B52006"/>
    <w:rsid w:val="47B633CA"/>
    <w:rsid w:val="47BC3738"/>
    <w:rsid w:val="47BD5C1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0B15BB"/>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62C6D"/>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657A1"/>
    <w:rsid w:val="488B279E"/>
    <w:rsid w:val="489D1A1D"/>
    <w:rsid w:val="48A46169"/>
    <w:rsid w:val="48A5233A"/>
    <w:rsid w:val="48B32DFD"/>
    <w:rsid w:val="48B707D0"/>
    <w:rsid w:val="48C27A4C"/>
    <w:rsid w:val="48C43321"/>
    <w:rsid w:val="48C63B56"/>
    <w:rsid w:val="48D0509E"/>
    <w:rsid w:val="48DB1003"/>
    <w:rsid w:val="48E10B9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66AC7"/>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3E14"/>
    <w:rsid w:val="49967804"/>
    <w:rsid w:val="499721AD"/>
    <w:rsid w:val="499762DC"/>
    <w:rsid w:val="49980409"/>
    <w:rsid w:val="499C0F2B"/>
    <w:rsid w:val="49A31852"/>
    <w:rsid w:val="49A47274"/>
    <w:rsid w:val="49AD512B"/>
    <w:rsid w:val="49B23D17"/>
    <w:rsid w:val="49B37D36"/>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06541"/>
    <w:rsid w:val="4A0C1EE8"/>
    <w:rsid w:val="4A0D60CC"/>
    <w:rsid w:val="4A0E2231"/>
    <w:rsid w:val="4A151985"/>
    <w:rsid w:val="4A183223"/>
    <w:rsid w:val="4A192C32"/>
    <w:rsid w:val="4A1C0D1E"/>
    <w:rsid w:val="4A1D2BB3"/>
    <w:rsid w:val="4A201730"/>
    <w:rsid w:val="4A2361B1"/>
    <w:rsid w:val="4A246681"/>
    <w:rsid w:val="4A250F67"/>
    <w:rsid w:val="4A2E3165"/>
    <w:rsid w:val="4A33337A"/>
    <w:rsid w:val="4A375652"/>
    <w:rsid w:val="4A492F58"/>
    <w:rsid w:val="4A504178"/>
    <w:rsid w:val="4A5F3240"/>
    <w:rsid w:val="4A604594"/>
    <w:rsid w:val="4A614402"/>
    <w:rsid w:val="4A626F0F"/>
    <w:rsid w:val="4A6615BE"/>
    <w:rsid w:val="4A6827A8"/>
    <w:rsid w:val="4A6A0509"/>
    <w:rsid w:val="4A6B40B3"/>
    <w:rsid w:val="4A72273A"/>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13278"/>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C3CF3"/>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61DC5"/>
    <w:rsid w:val="4BC63121"/>
    <w:rsid w:val="4BD20C60"/>
    <w:rsid w:val="4BD50A80"/>
    <w:rsid w:val="4BD66764"/>
    <w:rsid w:val="4BDB21FA"/>
    <w:rsid w:val="4BDB446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A45B7"/>
    <w:rsid w:val="4D5D3F9F"/>
    <w:rsid w:val="4D5F1D6B"/>
    <w:rsid w:val="4D623995"/>
    <w:rsid w:val="4D653D24"/>
    <w:rsid w:val="4D6E4167"/>
    <w:rsid w:val="4D7300B7"/>
    <w:rsid w:val="4D7A7B9A"/>
    <w:rsid w:val="4D806E2B"/>
    <w:rsid w:val="4D814417"/>
    <w:rsid w:val="4D817CA8"/>
    <w:rsid w:val="4D86521D"/>
    <w:rsid w:val="4D8733CA"/>
    <w:rsid w:val="4D891189"/>
    <w:rsid w:val="4D913378"/>
    <w:rsid w:val="4D9532EE"/>
    <w:rsid w:val="4D961A7E"/>
    <w:rsid w:val="4D9D6C26"/>
    <w:rsid w:val="4D9E1302"/>
    <w:rsid w:val="4DA213F9"/>
    <w:rsid w:val="4DAE182B"/>
    <w:rsid w:val="4DC005BF"/>
    <w:rsid w:val="4DC24F3B"/>
    <w:rsid w:val="4DC77BEE"/>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23201"/>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5324A"/>
    <w:rsid w:val="4E991BA4"/>
    <w:rsid w:val="4E995228"/>
    <w:rsid w:val="4E9A794B"/>
    <w:rsid w:val="4E9D6A10"/>
    <w:rsid w:val="4EA84426"/>
    <w:rsid w:val="4EAB217A"/>
    <w:rsid w:val="4EB52137"/>
    <w:rsid w:val="4EB73E2F"/>
    <w:rsid w:val="4EC51408"/>
    <w:rsid w:val="4EC96A14"/>
    <w:rsid w:val="4ECA712B"/>
    <w:rsid w:val="4ECC7C48"/>
    <w:rsid w:val="4ECE7319"/>
    <w:rsid w:val="4ED4606D"/>
    <w:rsid w:val="4ED7507A"/>
    <w:rsid w:val="4EDA3871"/>
    <w:rsid w:val="4EDC0039"/>
    <w:rsid w:val="4EE02939"/>
    <w:rsid w:val="4EE96C24"/>
    <w:rsid w:val="4EF03416"/>
    <w:rsid w:val="4EF6190B"/>
    <w:rsid w:val="4EF640EE"/>
    <w:rsid w:val="4EF77C82"/>
    <w:rsid w:val="4EFB0C15"/>
    <w:rsid w:val="4EFE781C"/>
    <w:rsid w:val="4F0C6077"/>
    <w:rsid w:val="4F14132F"/>
    <w:rsid w:val="4F163FBA"/>
    <w:rsid w:val="4F195EE2"/>
    <w:rsid w:val="4F1B2E4E"/>
    <w:rsid w:val="4F1C0749"/>
    <w:rsid w:val="4F327290"/>
    <w:rsid w:val="4F3A1522"/>
    <w:rsid w:val="4F3A454E"/>
    <w:rsid w:val="4F41097C"/>
    <w:rsid w:val="4F4137B3"/>
    <w:rsid w:val="4F482860"/>
    <w:rsid w:val="4F487299"/>
    <w:rsid w:val="4F4A1A20"/>
    <w:rsid w:val="4F4E2A7B"/>
    <w:rsid w:val="4F5176B3"/>
    <w:rsid w:val="4F591B85"/>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3768A"/>
    <w:rsid w:val="4F877E31"/>
    <w:rsid w:val="4F8A306F"/>
    <w:rsid w:val="4F8B17D4"/>
    <w:rsid w:val="4F937B21"/>
    <w:rsid w:val="4FA35065"/>
    <w:rsid w:val="4FA71943"/>
    <w:rsid w:val="4FB36127"/>
    <w:rsid w:val="4FB758B2"/>
    <w:rsid w:val="4FC94AF2"/>
    <w:rsid w:val="4FCB5260"/>
    <w:rsid w:val="4FCB650F"/>
    <w:rsid w:val="4FCE3EC5"/>
    <w:rsid w:val="4FE00E81"/>
    <w:rsid w:val="4FE45BD1"/>
    <w:rsid w:val="4FE56060"/>
    <w:rsid w:val="4FEA0FEF"/>
    <w:rsid w:val="4FEE3280"/>
    <w:rsid w:val="4FF36DA2"/>
    <w:rsid w:val="4FF9268F"/>
    <w:rsid w:val="4FFE02AC"/>
    <w:rsid w:val="50024D7D"/>
    <w:rsid w:val="500647A0"/>
    <w:rsid w:val="500779F7"/>
    <w:rsid w:val="500F2C52"/>
    <w:rsid w:val="50115029"/>
    <w:rsid w:val="50130207"/>
    <w:rsid w:val="50167B60"/>
    <w:rsid w:val="50186DCC"/>
    <w:rsid w:val="501F3FD6"/>
    <w:rsid w:val="50325A21"/>
    <w:rsid w:val="50337DE4"/>
    <w:rsid w:val="503A4A06"/>
    <w:rsid w:val="504827D0"/>
    <w:rsid w:val="50551A7C"/>
    <w:rsid w:val="50590640"/>
    <w:rsid w:val="505A1971"/>
    <w:rsid w:val="505B00FA"/>
    <w:rsid w:val="506468A8"/>
    <w:rsid w:val="50677501"/>
    <w:rsid w:val="506E5351"/>
    <w:rsid w:val="50755F46"/>
    <w:rsid w:val="507B2726"/>
    <w:rsid w:val="507D05D7"/>
    <w:rsid w:val="507D0D7F"/>
    <w:rsid w:val="507F13BF"/>
    <w:rsid w:val="50840781"/>
    <w:rsid w:val="50845052"/>
    <w:rsid w:val="50846EC4"/>
    <w:rsid w:val="50884A32"/>
    <w:rsid w:val="509029E8"/>
    <w:rsid w:val="509254DF"/>
    <w:rsid w:val="50940432"/>
    <w:rsid w:val="5099452D"/>
    <w:rsid w:val="509B7833"/>
    <w:rsid w:val="509E6025"/>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2D26B1"/>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C4D8F"/>
    <w:rsid w:val="518D16AD"/>
    <w:rsid w:val="518E1920"/>
    <w:rsid w:val="51911960"/>
    <w:rsid w:val="51930486"/>
    <w:rsid w:val="51942F56"/>
    <w:rsid w:val="51AE462A"/>
    <w:rsid w:val="51B37051"/>
    <w:rsid w:val="51B44B36"/>
    <w:rsid w:val="51B51E93"/>
    <w:rsid w:val="51BC7B58"/>
    <w:rsid w:val="51C10EBB"/>
    <w:rsid w:val="51C436C9"/>
    <w:rsid w:val="51DA4E91"/>
    <w:rsid w:val="51DF24D3"/>
    <w:rsid w:val="51E96BB5"/>
    <w:rsid w:val="51EF47CF"/>
    <w:rsid w:val="51FF7286"/>
    <w:rsid w:val="5207265A"/>
    <w:rsid w:val="521153DD"/>
    <w:rsid w:val="521A6B40"/>
    <w:rsid w:val="521C7DEC"/>
    <w:rsid w:val="52345124"/>
    <w:rsid w:val="523E191D"/>
    <w:rsid w:val="52427E0F"/>
    <w:rsid w:val="524679A7"/>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082A"/>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2301C"/>
    <w:rsid w:val="537C5062"/>
    <w:rsid w:val="537D0CE9"/>
    <w:rsid w:val="538051E9"/>
    <w:rsid w:val="53834FC0"/>
    <w:rsid w:val="53961443"/>
    <w:rsid w:val="53A37A08"/>
    <w:rsid w:val="53A756C3"/>
    <w:rsid w:val="53AC7990"/>
    <w:rsid w:val="53B27316"/>
    <w:rsid w:val="53B425A2"/>
    <w:rsid w:val="53B47FF2"/>
    <w:rsid w:val="53B53851"/>
    <w:rsid w:val="53B954D9"/>
    <w:rsid w:val="53BB6C30"/>
    <w:rsid w:val="53BB6CD0"/>
    <w:rsid w:val="53BF6E4D"/>
    <w:rsid w:val="53C023FC"/>
    <w:rsid w:val="53C323AB"/>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25D7"/>
    <w:rsid w:val="543A7B51"/>
    <w:rsid w:val="54431413"/>
    <w:rsid w:val="54467196"/>
    <w:rsid w:val="544D270A"/>
    <w:rsid w:val="544E5195"/>
    <w:rsid w:val="544E7341"/>
    <w:rsid w:val="54565AB3"/>
    <w:rsid w:val="54586E42"/>
    <w:rsid w:val="545D7C1E"/>
    <w:rsid w:val="54606870"/>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263265"/>
    <w:rsid w:val="553042A2"/>
    <w:rsid w:val="553134B9"/>
    <w:rsid w:val="55353920"/>
    <w:rsid w:val="553B1CF5"/>
    <w:rsid w:val="553E0350"/>
    <w:rsid w:val="55471121"/>
    <w:rsid w:val="55493663"/>
    <w:rsid w:val="55521CCB"/>
    <w:rsid w:val="55530D6F"/>
    <w:rsid w:val="55540E7B"/>
    <w:rsid w:val="55552428"/>
    <w:rsid w:val="5558286E"/>
    <w:rsid w:val="55597EFF"/>
    <w:rsid w:val="555E08DF"/>
    <w:rsid w:val="555F3BCA"/>
    <w:rsid w:val="55626FC2"/>
    <w:rsid w:val="55670CDC"/>
    <w:rsid w:val="556D3D8B"/>
    <w:rsid w:val="556D72ED"/>
    <w:rsid w:val="55786E56"/>
    <w:rsid w:val="557C6B7E"/>
    <w:rsid w:val="55803F7C"/>
    <w:rsid w:val="558434F4"/>
    <w:rsid w:val="5587719D"/>
    <w:rsid w:val="55894976"/>
    <w:rsid w:val="558E1C37"/>
    <w:rsid w:val="559264EF"/>
    <w:rsid w:val="5595422A"/>
    <w:rsid w:val="559661D7"/>
    <w:rsid w:val="55AE002D"/>
    <w:rsid w:val="55B66D2E"/>
    <w:rsid w:val="55BB1464"/>
    <w:rsid w:val="55BE303B"/>
    <w:rsid w:val="55E71247"/>
    <w:rsid w:val="55F11C14"/>
    <w:rsid w:val="55F13216"/>
    <w:rsid w:val="55F53DC2"/>
    <w:rsid w:val="55FB38C2"/>
    <w:rsid w:val="55FB4CD1"/>
    <w:rsid w:val="56053A66"/>
    <w:rsid w:val="560B7B72"/>
    <w:rsid w:val="560C7E69"/>
    <w:rsid w:val="56130030"/>
    <w:rsid w:val="56154A4C"/>
    <w:rsid w:val="561F640A"/>
    <w:rsid w:val="56215F3C"/>
    <w:rsid w:val="562E3095"/>
    <w:rsid w:val="563A0DC7"/>
    <w:rsid w:val="563C5D74"/>
    <w:rsid w:val="563D4E7F"/>
    <w:rsid w:val="56416CC2"/>
    <w:rsid w:val="564E1154"/>
    <w:rsid w:val="565209A5"/>
    <w:rsid w:val="565F174D"/>
    <w:rsid w:val="56614984"/>
    <w:rsid w:val="56624253"/>
    <w:rsid w:val="56632FA6"/>
    <w:rsid w:val="56661C41"/>
    <w:rsid w:val="56744CC5"/>
    <w:rsid w:val="567763EB"/>
    <w:rsid w:val="567B199A"/>
    <w:rsid w:val="568647E1"/>
    <w:rsid w:val="56930E45"/>
    <w:rsid w:val="56946A26"/>
    <w:rsid w:val="56953D4F"/>
    <w:rsid w:val="56975CE1"/>
    <w:rsid w:val="569D5512"/>
    <w:rsid w:val="56A01322"/>
    <w:rsid w:val="56A45DC2"/>
    <w:rsid w:val="56BD1AE8"/>
    <w:rsid w:val="56BF5743"/>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33BD5"/>
    <w:rsid w:val="57790012"/>
    <w:rsid w:val="57795FE6"/>
    <w:rsid w:val="57807D67"/>
    <w:rsid w:val="57862B6B"/>
    <w:rsid w:val="57903B7D"/>
    <w:rsid w:val="579337A7"/>
    <w:rsid w:val="579552C5"/>
    <w:rsid w:val="57994242"/>
    <w:rsid w:val="579A3826"/>
    <w:rsid w:val="57A134A1"/>
    <w:rsid w:val="57A246E6"/>
    <w:rsid w:val="57A401C4"/>
    <w:rsid w:val="57A90A91"/>
    <w:rsid w:val="57A913FE"/>
    <w:rsid w:val="57AD1A5F"/>
    <w:rsid w:val="57AF7199"/>
    <w:rsid w:val="57B255F6"/>
    <w:rsid w:val="57B27F4E"/>
    <w:rsid w:val="57B61ADB"/>
    <w:rsid w:val="57BB11B9"/>
    <w:rsid w:val="57C0151D"/>
    <w:rsid w:val="57C14748"/>
    <w:rsid w:val="57C30805"/>
    <w:rsid w:val="57CB091F"/>
    <w:rsid w:val="57D6465B"/>
    <w:rsid w:val="57DC28D9"/>
    <w:rsid w:val="57E43A4F"/>
    <w:rsid w:val="57F008BC"/>
    <w:rsid w:val="57F155CB"/>
    <w:rsid w:val="57F279DE"/>
    <w:rsid w:val="57F56E7A"/>
    <w:rsid w:val="57F91E8B"/>
    <w:rsid w:val="57FC577E"/>
    <w:rsid w:val="57FD476D"/>
    <w:rsid w:val="58024C7F"/>
    <w:rsid w:val="5805379F"/>
    <w:rsid w:val="58064DC8"/>
    <w:rsid w:val="580C58DD"/>
    <w:rsid w:val="58114939"/>
    <w:rsid w:val="5818680B"/>
    <w:rsid w:val="581A272E"/>
    <w:rsid w:val="581C5996"/>
    <w:rsid w:val="58207037"/>
    <w:rsid w:val="58291FBA"/>
    <w:rsid w:val="582C098B"/>
    <w:rsid w:val="582D27C6"/>
    <w:rsid w:val="58321FF0"/>
    <w:rsid w:val="583565D8"/>
    <w:rsid w:val="583A7406"/>
    <w:rsid w:val="583B6529"/>
    <w:rsid w:val="58414787"/>
    <w:rsid w:val="58451C1B"/>
    <w:rsid w:val="58485402"/>
    <w:rsid w:val="58517B8E"/>
    <w:rsid w:val="58596C7D"/>
    <w:rsid w:val="585C0258"/>
    <w:rsid w:val="585C368E"/>
    <w:rsid w:val="585D4900"/>
    <w:rsid w:val="5862122B"/>
    <w:rsid w:val="58646E97"/>
    <w:rsid w:val="586646D0"/>
    <w:rsid w:val="5867516A"/>
    <w:rsid w:val="586E7A63"/>
    <w:rsid w:val="58711673"/>
    <w:rsid w:val="587A654B"/>
    <w:rsid w:val="58802421"/>
    <w:rsid w:val="588D1666"/>
    <w:rsid w:val="588F71C9"/>
    <w:rsid w:val="58914185"/>
    <w:rsid w:val="58920F1B"/>
    <w:rsid w:val="58A16967"/>
    <w:rsid w:val="58AB69E5"/>
    <w:rsid w:val="58B167FD"/>
    <w:rsid w:val="58B513F7"/>
    <w:rsid w:val="58C0497A"/>
    <w:rsid w:val="58C564A5"/>
    <w:rsid w:val="58CC003F"/>
    <w:rsid w:val="58CD7B88"/>
    <w:rsid w:val="58CD7B89"/>
    <w:rsid w:val="58D10DDD"/>
    <w:rsid w:val="58D12092"/>
    <w:rsid w:val="58D52C82"/>
    <w:rsid w:val="58D540F7"/>
    <w:rsid w:val="58D5513C"/>
    <w:rsid w:val="58E34384"/>
    <w:rsid w:val="58EC7E85"/>
    <w:rsid w:val="58F34864"/>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61373"/>
    <w:rsid w:val="59561D93"/>
    <w:rsid w:val="595F11CB"/>
    <w:rsid w:val="59634BE6"/>
    <w:rsid w:val="5965617A"/>
    <w:rsid w:val="596654C9"/>
    <w:rsid w:val="596E1FBC"/>
    <w:rsid w:val="5977122A"/>
    <w:rsid w:val="597A7604"/>
    <w:rsid w:val="59822C29"/>
    <w:rsid w:val="59827068"/>
    <w:rsid w:val="59873E19"/>
    <w:rsid w:val="598A4267"/>
    <w:rsid w:val="599852BD"/>
    <w:rsid w:val="599C5353"/>
    <w:rsid w:val="59A379DA"/>
    <w:rsid w:val="59AA1BC7"/>
    <w:rsid w:val="59C10669"/>
    <w:rsid w:val="59C86714"/>
    <w:rsid w:val="59CF05F4"/>
    <w:rsid w:val="59D40772"/>
    <w:rsid w:val="59D713B0"/>
    <w:rsid w:val="59DA51E0"/>
    <w:rsid w:val="59DD71E5"/>
    <w:rsid w:val="59E43422"/>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358FF"/>
    <w:rsid w:val="5A357B48"/>
    <w:rsid w:val="5A367139"/>
    <w:rsid w:val="5A377721"/>
    <w:rsid w:val="5A393DFA"/>
    <w:rsid w:val="5A396F82"/>
    <w:rsid w:val="5A3A60A2"/>
    <w:rsid w:val="5A3B0495"/>
    <w:rsid w:val="5A3B2271"/>
    <w:rsid w:val="5A3D7BF7"/>
    <w:rsid w:val="5A3F78D6"/>
    <w:rsid w:val="5A435184"/>
    <w:rsid w:val="5A483FE9"/>
    <w:rsid w:val="5A4A55F7"/>
    <w:rsid w:val="5A4D6DDE"/>
    <w:rsid w:val="5A536B35"/>
    <w:rsid w:val="5A5407D2"/>
    <w:rsid w:val="5A554E02"/>
    <w:rsid w:val="5A565DC8"/>
    <w:rsid w:val="5A57679A"/>
    <w:rsid w:val="5A60367A"/>
    <w:rsid w:val="5A6338A8"/>
    <w:rsid w:val="5A633F59"/>
    <w:rsid w:val="5A810F21"/>
    <w:rsid w:val="5A8201E3"/>
    <w:rsid w:val="5A943561"/>
    <w:rsid w:val="5A947EF0"/>
    <w:rsid w:val="5A9545E6"/>
    <w:rsid w:val="5A96253C"/>
    <w:rsid w:val="5A9A1811"/>
    <w:rsid w:val="5AA45DD1"/>
    <w:rsid w:val="5AA86E5A"/>
    <w:rsid w:val="5AAA67C9"/>
    <w:rsid w:val="5AAE12B9"/>
    <w:rsid w:val="5AB41859"/>
    <w:rsid w:val="5AC40155"/>
    <w:rsid w:val="5AC51C42"/>
    <w:rsid w:val="5ACA67BF"/>
    <w:rsid w:val="5AD934B3"/>
    <w:rsid w:val="5ADB4308"/>
    <w:rsid w:val="5AE02F24"/>
    <w:rsid w:val="5AE84AF6"/>
    <w:rsid w:val="5AE868B2"/>
    <w:rsid w:val="5AE9652D"/>
    <w:rsid w:val="5AEC44BD"/>
    <w:rsid w:val="5AEE30DA"/>
    <w:rsid w:val="5AF514F0"/>
    <w:rsid w:val="5B025824"/>
    <w:rsid w:val="5B08472A"/>
    <w:rsid w:val="5B0937AB"/>
    <w:rsid w:val="5B0A2C87"/>
    <w:rsid w:val="5B127B67"/>
    <w:rsid w:val="5B183C22"/>
    <w:rsid w:val="5B1D3757"/>
    <w:rsid w:val="5B217D0A"/>
    <w:rsid w:val="5B276FBD"/>
    <w:rsid w:val="5B2F6C65"/>
    <w:rsid w:val="5B3B1A3B"/>
    <w:rsid w:val="5B3F5E85"/>
    <w:rsid w:val="5B461140"/>
    <w:rsid w:val="5B544C09"/>
    <w:rsid w:val="5B546635"/>
    <w:rsid w:val="5B5D6360"/>
    <w:rsid w:val="5B650C24"/>
    <w:rsid w:val="5B6C1370"/>
    <w:rsid w:val="5B700C48"/>
    <w:rsid w:val="5B762836"/>
    <w:rsid w:val="5B861DFE"/>
    <w:rsid w:val="5B8B4481"/>
    <w:rsid w:val="5B8F3139"/>
    <w:rsid w:val="5B8F6725"/>
    <w:rsid w:val="5B961544"/>
    <w:rsid w:val="5B9C0BB9"/>
    <w:rsid w:val="5B9D2958"/>
    <w:rsid w:val="5BAA1566"/>
    <w:rsid w:val="5BAC5FEF"/>
    <w:rsid w:val="5BAC660D"/>
    <w:rsid w:val="5BB90A97"/>
    <w:rsid w:val="5BC80573"/>
    <w:rsid w:val="5BC973B5"/>
    <w:rsid w:val="5BCC4604"/>
    <w:rsid w:val="5BD17E46"/>
    <w:rsid w:val="5BDE3DC3"/>
    <w:rsid w:val="5BE2378B"/>
    <w:rsid w:val="5BEB318B"/>
    <w:rsid w:val="5BEB5A0B"/>
    <w:rsid w:val="5BEC2285"/>
    <w:rsid w:val="5BFA1A95"/>
    <w:rsid w:val="5BFB4AA1"/>
    <w:rsid w:val="5BFD39FA"/>
    <w:rsid w:val="5C0347DA"/>
    <w:rsid w:val="5C071023"/>
    <w:rsid w:val="5C144649"/>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910A1"/>
    <w:rsid w:val="5C8E4CB9"/>
    <w:rsid w:val="5C915347"/>
    <w:rsid w:val="5CB70F5B"/>
    <w:rsid w:val="5CBE6A7F"/>
    <w:rsid w:val="5CC03AD8"/>
    <w:rsid w:val="5CC13B5F"/>
    <w:rsid w:val="5CC27397"/>
    <w:rsid w:val="5CC350B6"/>
    <w:rsid w:val="5CC40640"/>
    <w:rsid w:val="5CC5501F"/>
    <w:rsid w:val="5CCD5AF3"/>
    <w:rsid w:val="5CD87406"/>
    <w:rsid w:val="5CDB61B3"/>
    <w:rsid w:val="5CE12FA2"/>
    <w:rsid w:val="5CE37A0C"/>
    <w:rsid w:val="5CE86744"/>
    <w:rsid w:val="5CE86862"/>
    <w:rsid w:val="5CED27F5"/>
    <w:rsid w:val="5CEF4E30"/>
    <w:rsid w:val="5CF14339"/>
    <w:rsid w:val="5CF31D6C"/>
    <w:rsid w:val="5CFA76DA"/>
    <w:rsid w:val="5CFB7B1E"/>
    <w:rsid w:val="5CFE1EFD"/>
    <w:rsid w:val="5D01687D"/>
    <w:rsid w:val="5D03163C"/>
    <w:rsid w:val="5D0463C2"/>
    <w:rsid w:val="5D065149"/>
    <w:rsid w:val="5D0852A9"/>
    <w:rsid w:val="5D0A6B07"/>
    <w:rsid w:val="5D0C0E20"/>
    <w:rsid w:val="5D0D0434"/>
    <w:rsid w:val="5D115318"/>
    <w:rsid w:val="5D171915"/>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6A0CF0"/>
    <w:rsid w:val="5D7013D1"/>
    <w:rsid w:val="5D717DBF"/>
    <w:rsid w:val="5D763D0D"/>
    <w:rsid w:val="5D7F4B1E"/>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E517D"/>
    <w:rsid w:val="5E124791"/>
    <w:rsid w:val="5E167528"/>
    <w:rsid w:val="5E1B4A6C"/>
    <w:rsid w:val="5E1C61EC"/>
    <w:rsid w:val="5E2324C4"/>
    <w:rsid w:val="5E2720CA"/>
    <w:rsid w:val="5E2C695E"/>
    <w:rsid w:val="5E3676CF"/>
    <w:rsid w:val="5E3B0EF2"/>
    <w:rsid w:val="5E3B2AAC"/>
    <w:rsid w:val="5E475B90"/>
    <w:rsid w:val="5E490299"/>
    <w:rsid w:val="5E4B6995"/>
    <w:rsid w:val="5E4F478A"/>
    <w:rsid w:val="5E4F7336"/>
    <w:rsid w:val="5E531698"/>
    <w:rsid w:val="5E5C65F2"/>
    <w:rsid w:val="5E67568D"/>
    <w:rsid w:val="5E696614"/>
    <w:rsid w:val="5E697941"/>
    <w:rsid w:val="5E7877CB"/>
    <w:rsid w:val="5E794C04"/>
    <w:rsid w:val="5E795C99"/>
    <w:rsid w:val="5E7C2DBF"/>
    <w:rsid w:val="5E802BA9"/>
    <w:rsid w:val="5E891B83"/>
    <w:rsid w:val="5E924596"/>
    <w:rsid w:val="5E947B41"/>
    <w:rsid w:val="5E9C24EB"/>
    <w:rsid w:val="5EAC01E3"/>
    <w:rsid w:val="5EB400C3"/>
    <w:rsid w:val="5EB82055"/>
    <w:rsid w:val="5EC309DA"/>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568A4"/>
    <w:rsid w:val="5F365AC4"/>
    <w:rsid w:val="5F3809A2"/>
    <w:rsid w:val="5F425E0E"/>
    <w:rsid w:val="5F4D5E87"/>
    <w:rsid w:val="5F561440"/>
    <w:rsid w:val="5F565D66"/>
    <w:rsid w:val="5F5A6C52"/>
    <w:rsid w:val="5F615247"/>
    <w:rsid w:val="5F6A5A0A"/>
    <w:rsid w:val="5F73758B"/>
    <w:rsid w:val="5F796C02"/>
    <w:rsid w:val="5F7A3813"/>
    <w:rsid w:val="5F7B787C"/>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019A5"/>
    <w:rsid w:val="5FF44B73"/>
    <w:rsid w:val="5FF70698"/>
    <w:rsid w:val="5FFC2AE4"/>
    <w:rsid w:val="60052229"/>
    <w:rsid w:val="60070FA0"/>
    <w:rsid w:val="6007379D"/>
    <w:rsid w:val="60085C69"/>
    <w:rsid w:val="600B1124"/>
    <w:rsid w:val="601079C8"/>
    <w:rsid w:val="601441AB"/>
    <w:rsid w:val="6016135E"/>
    <w:rsid w:val="60255BF0"/>
    <w:rsid w:val="602961E3"/>
    <w:rsid w:val="602B5AF6"/>
    <w:rsid w:val="602F51EE"/>
    <w:rsid w:val="6039674B"/>
    <w:rsid w:val="60396D53"/>
    <w:rsid w:val="60460B23"/>
    <w:rsid w:val="60475A2A"/>
    <w:rsid w:val="6051492B"/>
    <w:rsid w:val="605414CE"/>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A759FE"/>
    <w:rsid w:val="60B17E63"/>
    <w:rsid w:val="60B40EFB"/>
    <w:rsid w:val="60BA3688"/>
    <w:rsid w:val="60BE3A10"/>
    <w:rsid w:val="60BE7F1C"/>
    <w:rsid w:val="60C00D53"/>
    <w:rsid w:val="60C41F6D"/>
    <w:rsid w:val="60C66A6E"/>
    <w:rsid w:val="60CF150F"/>
    <w:rsid w:val="60D44DA5"/>
    <w:rsid w:val="60DC2AE2"/>
    <w:rsid w:val="60DE494B"/>
    <w:rsid w:val="60E0373A"/>
    <w:rsid w:val="60E264E0"/>
    <w:rsid w:val="60E33A55"/>
    <w:rsid w:val="60EF18DB"/>
    <w:rsid w:val="60F87843"/>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62AB"/>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D0FD1"/>
    <w:rsid w:val="61C63667"/>
    <w:rsid w:val="61D033C7"/>
    <w:rsid w:val="61D2628F"/>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913D2"/>
    <w:rsid w:val="626F3399"/>
    <w:rsid w:val="62710CC6"/>
    <w:rsid w:val="62786ED2"/>
    <w:rsid w:val="628710AB"/>
    <w:rsid w:val="6289557C"/>
    <w:rsid w:val="628A2538"/>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BF0610"/>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1F6E93"/>
    <w:rsid w:val="632551D7"/>
    <w:rsid w:val="6326699A"/>
    <w:rsid w:val="63274BB1"/>
    <w:rsid w:val="632C1E99"/>
    <w:rsid w:val="63386BB9"/>
    <w:rsid w:val="633B1E29"/>
    <w:rsid w:val="634A5D38"/>
    <w:rsid w:val="634C65DC"/>
    <w:rsid w:val="635B00C9"/>
    <w:rsid w:val="6360595E"/>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E219C"/>
    <w:rsid w:val="643E383F"/>
    <w:rsid w:val="644426F4"/>
    <w:rsid w:val="644A2959"/>
    <w:rsid w:val="644D7682"/>
    <w:rsid w:val="644E6CB6"/>
    <w:rsid w:val="64535672"/>
    <w:rsid w:val="64574EB1"/>
    <w:rsid w:val="646B3F3E"/>
    <w:rsid w:val="646D1CD3"/>
    <w:rsid w:val="64736538"/>
    <w:rsid w:val="6476698F"/>
    <w:rsid w:val="647D6981"/>
    <w:rsid w:val="647E5324"/>
    <w:rsid w:val="64827BE0"/>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17F72"/>
    <w:rsid w:val="64E724DB"/>
    <w:rsid w:val="64ED61E2"/>
    <w:rsid w:val="64ED7476"/>
    <w:rsid w:val="64F13852"/>
    <w:rsid w:val="64F6189F"/>
    <w:rsid w:val="64F656FB"/>
    <w:rsid w:val="64F92204"/>
    <w:rsid w:val="65004915"/>
    <w:rsid w:val="650771CA"/>
    <w:rsid w:val="650F000D"/>
    <w:rsid w:val="6512513F"/>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D1D8B"/>
    <w:rsid w:val="655E2E69"/>
    <w:rsid w:val="65620CDF"/>
    <w:rsid w:val="656763D3"/>
    <w:rsid w:val="656771B8"/>
    <w:rsid w:val="656A2B47"/>
    <w:rsid w:val="656E5FF8"/>
    <w:rsid w:val="65755AA9"/>
    <w:rsid w:val="657701D4"/>
    <w:rsid w:val="657763D1"/>
    <w:rsid w:val="6577679C"/>
    <w:rsid w:val="65807AD8"/>
    <w:rsid w:val="65822FE0"/>
    <w:rsid w:val="65886C99"/>
    <w:rsid w:val="658B3278"/>
    <w:rsid w:val="65972220"/>
    <w:rsid w:val="659B3091"/>
    <w:rsid w:val="65A16EE2"/>
    <w:rsid w:val="65AE1917"/>
    <w:rsid w:val="65AF133A"/>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2578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665DA6"/>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206181"/>
    <w:rsid w:val="67243A92"/>
    <w:rsid w:val="67267049"/>
    <w:rsid w:val="67333E25"/>
    <w:rsid w:val="6737473D"/>
    <w:rsid w:val="673F566D"/>
    <w:rsid w:val="67477A3D"/>
    <w:rsid w:val="674836B0"/>
    <w:rsid w:val="674A7242"/>
    <w:rsid w:val="6750530D"/>
    <w:rsid w:val="67534BA2"/>
    <w:rsid w:val="675D2814"/>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84969"/>
    <w:rsid w:val="67AE2CDF"/>
    <w:rsid w:val="67B077C4"/>
    <w:rsid w:val="67B606A1"/>
    <w:rsid w:val="67BA0F78"/>
    <w:rsid w:val="67C37F4E"/>
    <w:rsid w:val="67C96D27"/>
    <w:rsid w:val="67CA03CE"/>
    <w:rsid w:val="67CB73B6"/>
    <w:rsid w:val="67D27650"/>
    <w:rsid w:val="67D50B91"/>
    <w:rsid w:val="67D93324"/>
    <w:rsid w:val="67D95CE6"/>
    <w:rsid w:val="67DC3979"/>
    <w:rsid w:val="67E30381"/>
    <w:rsid w:val="67E52885"/>
    <w:rsid w:val="67E81682"/>
    <w:rsid w:val="67E86538"/>
    <w:rsid w:val="67E96C00"/>
    <w:rsid w:val="67EA07C1"/>
    <w:rsid w:val="67EE61ED"/>
    <w:rsid w:val="67F43FF6"/>
    <w:rsid w:val="67FC5BF8"/>
    <w:rsid w:val="6807753D"/>
    <w:rsid w:val="6813706E"/>
    <w:rsid w:val="682178E5"/>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C240E"/>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64A5B"/>
    <w:rsid w:val="69DD7F9F"/>
    <w:rsid w:val="69E31EF0"/>
    <w:rsid w:val="69E90668"/>
    <w:rsid w:val="69ED5274"/>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40D11"/>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45091"/>
    <w:rsid w:val="6B4A6769"/>
    <w:rsid w:val="6B5E5F25"/>
    <w:rsid w:val="6B647694"/>
    <w:rsid w:val="6B666A66"/>
    <w:rsid w:val="6B687879"/>
    <w:rsid w:val="6B6C74E1"/>
    <w:rsid w:val="6B713FC1"/>
    <w:rsid w:val="6B72036F"/>
    <w:rsid w:val="6B7357C3"/>
    <w:rsid w:val="6B832B21"/>
    <w:rsid w:val="6B867E5C"/>
    <w:rsid w:val="6B88607A"/>
    <w:rsid w:val="6B9150FF"/>
    <w:rsid w:val="6B946BF3"/>
    <w:rsid w:val="6BA045EF"/>
    <w:rsid w:val="6BA2350F"/>
    <w:rsid w:val="6BA31178"/>
    <w:rsid w:val="6BB2108D"/>
    <w:rsid w:val="6BB30977"/>
    <w:rsid w:val="6BD4209E"/>
    <w:rsid w:val="6BD82F70"/>
    <w:rsid w:val="6BDB61D4"/>
    <w:rsid w:val="6BE223DA"/>
    <w:rsid w:val="6BE85FD3"/>
    <w:rsid w:val="6BF04529"/>
    <w:rsid w:val="6BF36866"/>
    <w:rsid w:val="6BF40ECE"/>
    <w:rsid w:val="6BFB7A6D"/>
    <w:rsid w:val="6C005268"/>
    <w:rsid w:val="6C051A87"/>
    <w:rsid w:val="6C0738DF"/>
    <w:rsid w:val="6C0973B9"/>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71E35"/>
    <w:rsid w:val="6C4928BB"/>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810F3"/>
    <w:rsid w:val="6CC97063"/>
    <w:rsid w:val="6CCB0028"/>
    <w:rsid w:val="6CCB0C6B"/>
    <w:rsid w:val="6CCB2D0A"/>
    <w:rsid w:val="6CCE63ED"/>
    <w:rsid w:val="6CCF1159"/>
    <w:rsid w:val="6CD11253"/>
    <w:rsid w:val="6CD217F1"/>
    <w:rsid w:val="6CD501EC"/>
    <w:rsid w:val="6CE80C75"/>
    <w:rsid w:val="6CF0094D"/>
    <w:rsid w:val="6D052816"/>
    <w:rsid w:val="6D070F6E"/>
    <w:rsid w:val="6D116339"/>
    <w:rsid w:val="6D1C0D1C"/>
    <w:rsid w:val="6D23170F"/>
    <w:rsid w:val="6D253611"/>
    <w:rsid w:val="6D330BE7"/>
    <w:rsid w:val="6D3326A9"/>
    <w:rsid w:val="6D3A5839"/>
    <w:rsid w:val="6D3B5319"/>
    <w:rsid w:val="6D3D2693"/>
    <w:rsid w:val="6D40296E"/>
    <w:rsid w:val="6D435C77"/>
    <w:rsid w:val="6D470A7E"/>
    <w:rsid w:val="6D4C4DFE"/>
    <w:rsid w:val="6D4C5E69"/>
    <w:rsid w:val="6D537D1B"/>
    <w:rsid w:val="6D5A2C9B"/>
    <w:rsid w:val="6D5E0B4C"/>
    <w:rsid w:val="6D5E1190"/>
    <w:rsid w:val="6D60795E"/>
    <w:rsid w:val="6D611D78"/>
    <w:rsid w:val="6D6135F4"/>
    <w:rsid w:val="6D644AC3"/>
    <w:rsid w:val="6D661353"/>
    <w:rsid w:val="6D6E7693"/>
    <w:rsid w:val="6D702EBB"/>
    <w:rsid w:val="6D7302DF"/>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CD448E"/>
    <w:rsid w:val="6DD53FF8"/>
    <w:rsid w:val="6DD829F0"/>
    <w:rsid w:val="6DDF7647"/>
    <w:rsid w:val="6DE36825"/>
    <w:rsid w:val="6DE53394"/>
    <w:rsid w:val="6DE70C3E"/>
    <w:rsid w:val="6DE7336C"/>
    <w:rsid w:val="6DFC7B9F"/>
    <w:rsid w:val="6E036698"/>
    <w:rsid w:val="6E0760D0"/>
    <w:rsid w:val="6E0927C5"/>
    <w:rsid w:val="6E1158BA"/>
    <w:rsid w:val="6E185997"/>
    <w:rsid w:val="6E1A373A"/>
    <w:rsid w:val="6E1A7481"/>
    <w:rsid w:val="6E1B105E"/>
    <w:rsid w:val="6E1F5D69"/>
    <w:rsid w:val="6E220C97"/>
    <w:rsid w:val="6E224A5B"/>
    <w:rsid w:val="6E27618D"/>
    <w:rsid w:val="6E277AA3"/>
    <w:rsid w:val="6E2B4CF2"/>
    <w:rsid w:val="6E35129D"/>
    <w:rsid w:val="6E39201E"/>
    <w:rsid w:val="6E4811D7"/>
    <w:rsid w:val="6E4A7C2E"/>
    <w:rsid w:val="6E4E1B2C"/>
    <w:rsid w:val="6E511F12"/>
    <w:rsid w:val="6E617CA9"/>
    <w:rsid w:val="6E6C32CD"/>
    <w:rsid w:val="6E6F4755"/>
    <w:rsid w:val="6E701D7F"/>
    <w:rsid w:val="6E737B36"/>
    <w:rsid w:val="6E7409D9"/>
    <w:rsid w:val="6E77033D"/>
    <w:rsid w:val="6E7C4E3C"/>
    <w:rsid w:val="6E865687"/>
    <w:rsid w:val="6E912F38"/>
    <w:rsid w:val="6E921DA1"/>
    <w:rsid w:val="6E940B04"/>
    <w:rsid w:val="6E965300"/>
    <w:rsid w:val="6EA46912"/>
    <w:rsid w:val="6EA51B9F"/>
    <w:rsid w:val="6EA63752"/>
    <w:rsid w:val="6EA64819"/>
    <w:rsid w:val="6EA84C2B"/>
    <w:rsid w:val="6EAA489F"/>
    <w:rsid w:val="6EAB3BE1"/>
    <w:rsid w:val="6EAB5A16"/>
    <w:rsid w:val="6EB40256"/>
    <w:rsid w:val="6EC153B6"/>
    <w:rsid w:val="6EC47C33"/>
    <w:rsid w:val="6EC65E9A"/>
    <w:rsid w:val="6ECE3DBA"/>
    <w:rsid w:val="6ED673DE"/>
    <w:rsid w:val="6ED77BF9"/>
    <w:rsid w:val="6ED96A02"/>
    <w:rsid w:val="6EEA051A"/>
    <w:rsid w:val="6EEA4297"/>
    <w:rsid w:val="6EF00518"/>
    <w:rsid w:val="6EF219BB"/>
    <w:rsid w:val="6F004303"/>
    <w:rsid w:val="6F045596"/>
    <w:rsid w:val="6F06324C"/>
    <w:rsid w:val="6F0810D3"/>
    <w:rsid w:val="6F0D32C5"/>
    <w:rsid w:val="6F0D6FAE"/>
    <w:rsid w:val="6F102A16"/>
    <w:rsid w:val="6F1238B1"/>
    <w:rsid w:val="6F132315"/>
    <w:rsid w:val="6F193EA2"/>
    <w:rsid w:val="6F1A6406"/>
    <w:rsid w:val="6F1B7484"/>
    <w:rsid w:val="6F1F6E65"/>
    <w:rsid w:val="6F247658"/>
    <w:rsid w:val="6F300304"/>
    <w:rsid w:val="6F364E6A"/>
    <w:rsid w:val="6F3A278B"/>
    <w:rsid w:val="6F477C73"/>
    <w:rsid w:val="6F494657"/>
    <w:rsid w:val="6F497592"/>
    <w:rsid w:val="6F58211E"/>
    <w:rsid w:val="6F5C2A7B"/>
    <w:rsid w:val="6F607092"/>
    <w:rsid w:val="6F6276D1"/>
    <w:rsid w:val="6F6277C3"/>
    <w:rsid w:val="6F631F0A"/>
    <w:rsid w:val="6F64001B"/>
    <w:rsid w:val="6F6538C4"/>
    <w:rsid w:val="6F671B6F"/>
    <w:rsid w:val="6F8426D4"/>
    <w:rsid w:val="6F897F4B"/>
    <w:rsid w:val="6F8C5AA5"/>
    <w:rsid w:val="6F8F537D"/>
    <w:rsid w:val="6F9B34F3"/>
    <w:rsid w:val="6FA274A1"/>
    <w:rsid w:val="6FA32C4E"/>
    <w:rsid w:val="6FA607E8"/>
    <w:rsid w:val="6FA742BB"/>
    <w:rsid w:val="6FAB7699"/>
    <w:rsid w:val="6FAE711A"/>
    <w:rsid w:val="6FB628CA"/>
    <w:rsid w:val="6FBF7E82"/>
    <w:rsid w:val="6FC0794B"/>
    <w:rsid w:val="6FC5072F"/>
    <w:rsid w:val="6FD4076D"/>
    <w:rsid w:val="6FD6728B"/>
    <w:rsid w:val="6FD73EF4"/>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53165"/>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07CEF"/>
    <w:rsid w:val="71524583"/>
    <w:rsid w:val="715455B3"/>
    <w:rsid w:val="71553813"/>
    <w:rsid w:val="715B17FA"/>
    <w:rsid w:val="715D4E0B"/>
    <w:rsid w:val="715E557A"/>
    <w:rsid w:val="715F1F9A"/>
    <w:rsid w:val="71690217"/>
    <w:rsid w:val="716A46B9"/>
    <w:rsid w:val="717801A9"/>
    <w:rsid w:val="717F36DE"/>
    <w:rsid w:val="718778F2"/>
    <w:rsid w:val="71892B0B"/>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505FF"/>
    <w:rsid w:val="727524C5"/>
    <w:rsid w:val="727A2878"/>
    <w:rsid w:val="727A7D1A"/>
    <w:rsid w:val="727B4290"/>
    <w:rsid w:val="72820589"/>
    <w:rsid w:val="72875F01"/>
    <w:rsid w:val="728762FF"/>
    <w:rsid w:val="729732E1"/>
    <w:rsid w:val="729807B0"/>
    <w:rsid w:val="72A77A4F"/>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02CE"/>
    <w:rsid w:val="741E5779"/>
    <w:rsid w:val="742227D1"/>
    <w:rsid w:val="74277835"/>
    <w:rsid w:val="74283D09"/>
    <w:rsid w:val="742B00D0"/>
    <w:rsid w:val="742E587E"/>
    <w:rsid w:val="743965EB"/>
    <w:rsid w:val="74410C1E"/>
    <w:rsid w:val="744810E9"/>
    <w:rsid w:val="74525205"/>
    <w:rsid w:val="745471DF"/>
    <w:rsid w:val="745D77C8"/>
    <w:rsid w:val="74663D42"/>
    <w:rsid w:val="746D50DA"/>
    <w:rsid w:val="746F7244"/>
    <w:rsid w:val="7471001B"/>
    <w:rsid w:val="74716A08"/>
    <w:rsid w:val="747267A9"/>
    <w:rsid w:val="747A6F58"/>
    <w:rsid w:val="747B7F4A"/>
    <w:rsid w:val="747C4DE9"/>
    <w:rsid w:val="74806D03"/>
    <w:rsid w:val="74886C9D"/>
    <w:rsid w:val="748E40CB"/>
    <w:rsid w:val="74902902"/>
    <w:rsid w:val="74905AB6"/>
    <w:rsid w:val="749A353B"/>
    <w:rsid w:val="749E3A5B"/>
    <w:rsid w:val="74B30C33"/>
    <w:rsid w:val="74CA3AD5"/>
    <w:rsid w:val="74CC36DC"/>
    <w:rsid w:val="74CE67CF"/>
    <w:rsid w:val="74CF49BD"/>
    <w:rsid w:val="74D073FB"/>
    <w:rsid w:val="74D25EE2"/>
    <w:rsid w:val="74D94700"/>
    <w:rsid w:val="74E21F05"/>
    <w:rsid w:val="74E73044"/>
    <w:rsid w:val="74EA4730"/>
    <w:rsid w:val="74EA64E9"/>
    <w:rsid w:val="74EB5471"/>
    <w:rsid w:val="74EB5792"/>
    <w:rsid w:val="74F821E3"/>
    <w:rsid w:val="74FE6EDC"/>
    <w:rsid w:val="75004176"/>
    <w:rsid w:val="75017AB3"/>
    <w:rsid w:val="75076022"/>
    <w:rsid w:val="750D05D3"/>
    <w:rsid w:val="750E04AA"/>
    <w:rsid w:val="750E7F27"/>
    <w:rsid w:val="7518029F"/>
    <w:rsid w:val="75197265"/>
    <w:rsid w:val="75210929"/>
    <w:rsid w:val="752769BB"/>
    <w:rsid w:val="752901BE"/>
    <w:rsid w:val="752A7B48"/>
    <w:rsid w:val="752D5945"/>
    <w:rsid w:val="75301430"/>
    <w:rsid w:val="75303C91"/>
    <w:rsid w:val="7534510A"/>
    <w:rsid w:val="75353189"/>
    <w:rsid w:val="753A1E42"/>
    <w:rsid w:val="75413000"/>
    <w:rsid w:val="75437BF3"/>
    <w:rsid w:val="75501785"/>
    <w:rsid w:val="75522634"/>
    <w:rsid w:val="75522DE3"/>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4F3F"/>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0A0B3F"/>
    <w:rsid w:val="76105091"/>
    <w:rsid w:val="76137111"/>
    <w:rsid w:val="76160B37"/>
    <w:rsid w:val="76240809"/>
    <w:rsid w:val="76284A99"/>
    <w:rsid w:val="762B0A64"/>
    <w:rsid w:val="762F06D8"/>
    <w:rsid w:val="76330CEC"/>
    <w:rsid w:val="76347E97"/>
    <w:rsid w:val="763E49DF"/>
    <w:rsid w:val="763F2481"/>
    <w:rsid w:val="764448C5"/>
    <w:rsid w:val="765510D9"/>
    <w:rsid w:val="76634ABB"/>
    <w:rsid w:val="76685A5F"/>
    <w:rsid w:val="766E149C"/>
    <w:rsid w:val="76704A90"/>
    <w:rsid w:val="76710F59"/>
    <w:rsid w:val="76731704"/>
    <w:rsid w:val="76791577"/>
    <w:rsid w:val="767A1571"/>
    <w:rsid w:val="767B346C"/>
    <w:rsid w:val="767E2490"/>
    <w:rsid w:val="76800D5B"/>
    <w:rsid w:val="76844924"/>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BE26B9"/>
    <w:rsid w:val="76C524B6"/>
    <w:rsid w:val="76C531DC"/>
    <w:rsid w:val="76CD0623"/>
    <w:rsid w:val="76CF40F0"/>
    <w:rsid w:val="76D2560C"/>
    <w:rsid w:val="76D63596"/>
    <w:rsid w:val="76D65BBC"/>
    <w:rsid w:val="76D823FA"/>
    <w:rsid w:val="76D84669"/>
    <w:rsid w:val="76DA0CCD"/>
    <w:rsid w:val="76E94A27"/>
    <w:rsid w:val="76ED2324"/>
    <w:rsid w:val="76F2006B"/>
    <w:rsid w:val="76F61F1D"/>
    <w:rsid w:val="76FB2FAF"/>
    <w:rsid w:val="76FF12B1"/>
    <w:rsid w:val="77031448"/>
    <w:rsid w:val="77073F43"/>
    <w:rsid w:val="770F3B36"/>
    <w:rsid w:val="771071DC"/>
    <w:rsid w:val="77184032"/>
    <w:rsid w:val="772209CB"/>
    <w:rsid w:val="7723195D"/>
    <w:rsid w:val="772A1315"/>
    <w:rsid w:val="7734235A"/>
    <w:rsid w:val="77365752"/>
    <w:rsid w:val="773D2B51"/>
    <w:rsid w:val="773F59CC"/>
    <w:rsid w:val="774E7377"/>
    <w:rsid w:val="774F5379"/>
    <w:rsid w:val="77537360"/>
    <w:rsid w:val="77583047"/>
    <w:rsid w:val="775A67F8"/>
    <w:rsid w:val="775D0DCF"/>
    <w:rsid w:val="776558E7"/>
    <w:rsid w:val="77724A87"/>
    <w:rsid w:val="777344D6"/>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73C66"/>
    <w:rsid w:val="77CC6CB8"/>
    <w:rsid w:val="77D0780A"/>
    <w:rsid w:val="77D50840"/>
    <w:rsid w:val="77E1742C"/>
    <w:rsid w:val="77E17891"/>
    <w:rsid w:val="77E4323F"/>
    <w:rsid w:val="77E55DE5"/>
    <w:rsid w:val="77EA424F"/>
    <w:rsid w:val="77ED0B13"/>
    <w:rsid w:val="77F242E3"/>
    <w:rsid w:val="77F954C1"/>
    <w:rsid w:val="780158ED"/>
    <w:rsid w:val="780318F4"/>
    <w:rsid w:val="780543E8"/>
    <w:rsid w:val="78062B22"/>
    <w:rsid w:val="780C33BF"/>
    <w:rsid w:val="780D0E2D"/>
    <w:rsid w:val="780D7B95"/>
    <w:rsid w:val="780F159E"/>
    <w:rsid w:val="78124B18"/>
    <w:rsid w:val="781B23FC"/>
    <w:rsid w:val="784059E3"/>
    <w:rsid w:val="784329E1"/>
    <w:rsid w:val="784451CB"/>
    <w:rsid w:val="784A3895"/>
    <w:rsid w:val="785A3795"/>
    <w:rsid w:val="785D3AC6"/>
    <w:rsid w:val="7866580D"/>
    <w:rsid w:val="786E0531"/>
    <w:rsid w:val="78797D80"/>
    <w:rsid w:val="787B4AA1"/>
    <w:rsid w:val="787F1907"/>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62BFD"/>
    <w:rsid w:val="78AB1B85"/>
    <w:rsid w:val="78BB450B"/>
    <w:rsid w:val="78C54E82"/>
    <w:rsid w:val="78C60ED3"/>
    <w:rsid w:val="78C6582A"/>
    <w:rsid w:val="78C709C2"/>
    <w:rsid w:val="78D23B7E"/>
    <w:rsid w:val="78E10719"/>
    <w:rsid w:val="78E1075B"/>
    <w:rsid w:val="78F14E36"/>
    <w:rsid w:val="78FB7710"/>
    <w:rsid w:val="79081CD5"/>
    <w:rsid w:val="790C2CCB"/>
    <w:rsid w:val="791035E5"/>
    <w:rsid w:val="791A0BFE"/>
    <w:rsid w:val="791C71D0"/>
    <w:rsid w:val="79201362"/>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92797"/>
    <w:rsid w:val="79793509"/>
    <w:rsid w:val="797A0ED7"/>
    <w:rsid w:val="797B64FD"/>
    <w:rsid w:val="797B6D10"/>
    <w:rsid w:val="798A6B95"/>
    <w:rsid w:val="798E16DB"/>
    <w:rsid w:val="798F00A9"/>
    <w:rsid w:val="79976D83"/>
    <w:rsid w:val="799B7317"/>
    <w:rsid w:val="79A24D61"/>
    <w:rsid w:val="79A675AF"/>
    <w:rsid w:val="79A91563"/>
    <w:rsid w:val="79AB1394"/>
    <w:rsid w:val="79B033DC"/>
    <w:rsid w:val="79B3005A"/>
    <w:rsid w:val="79B530ED"/>
    <w:rsid w:val="79B827E4"/>
    <w:rsid w:val="79B8596D"/>
    <w:rsid w:val="79BF6579"/>
    <w:rsid w:val="79C06021"/>
    <w:rsid w:val="79C07795"/>
    <w:rsid w:val="79C27365"/>
    <w:rsid w:val="79D2238A"/>
    <w:rsid w:val="79D93320"/>
    <w:rsid w:val="79DC79C2"/>
    <w:rsid w:val="79E13F82"/>
    <w:rsid w:val="79E17612"/>
    <w:rsid w:val="79E979BB"/>
    <w:rsid w:val="79EA0223"/>
    <w:rsid w:val="79F4787F"/>
    <w:rsid w:val="79F73FC2"/>
    <w:rsid w:val="79FA136D"/>
    <w:rsid w:val="79FD3BCB"/>
    <w:rsid w:val="7A040D63"/>
    <w:rsid w:val="7A05786A"/>
    <w:rsid w:val="7A0D7065"/>
    <w:rsid w:val="7A195FFA"/>
    <w:rsid w:val="7A1A0922"/>
    <w:rsid w:val="7A1B3F1C"/>
    <w:rsid w:val="7A200264"/>
    <w:rsid w:val="7A23724A"/>
    <w:rsid w:val="7A283BF5"/>
    <w:rsid w:val="7A2F4BCF"/>
    <w:rsid w:val="7A3018CA"/>
    <w:rsid w:val="7A3974D6"/>
    <w:rsid w:val="7A3D7337"/>
    <w:rsid w:val="7A4060AE"/>
    <w:rsid w:val="7A442764"/>
    <w:rsid w:val="7A4B390A"/>
    <w:rsid w:val="7A4C413A"/>
    <w:rsid w:val="7A5467D6"/>
    <w:rsid w:val="7A55702A"/>
    <w:rsid w:val="7A5675F8"/>
    <w:rsid w:val="7A5B6C79"/>
    <w:rsid w:val="7A5C247F"/>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75598"/>
    <w:rsid w:val="7ADA08CB"/>
    <w:rsid w:val="7ADE7D20"/>
    <w:rsid w:val="7AE16BF9"/>
    <w:rsid w:val="7AE6530E"/>
    <w:rsid w:val="7AEF0262"/>
    <w:rsid w:val="7AF40620"/>
    <w:rsid w:val="7AF70369"/>
    <w:rsid w:val="7B0A1118"/>
    <w:rsid w:val="7B1C2184"/>
    <w:rsid w:val="7B2D37CA"/>
    <w:rsid w:val="7B5263BB"/>
    <w:rsid w:val="7B576462"/>
    <w:rsid w:val="7B594B85"/>
    <w:rsid w:val="7B5B2668"/>
    <w:rsid w:val="7B5D24AF"/>
    <w:rsid w:val="7B63272B"/>
    <w:rsid w:val="7B6374D1"/>
    <w:rsid w:val="7B647C53"/>
    <w:rsid w:val="7B65452C"/>
    <w:rsid w:val="7B677548"/>
    <w:rsid w:val="7B6A752F"/>
    <w:rsid w:val="7B6E4B57"/>
    <w:rsid w:val="7B733935"/>
    <w:rsid w:val="7B7C162F"/>
    <w:rsid w:val="7B7D1905"/>
    <w:rsid w:val="7B8175B9"/>
    <w:rsid w:val="7B833A1A"/>
    <w:rsid w:val="7B8D734B"/>
    <w:rsid w:val="7B9174D9"/>
    <w:rsid w:val="7B956F44"/>
    <w:rsid w:val="7BB15E38"/>
    <w:rsid w:val="7BB31BAD"/>
    <w:rsid w:val="7BBA5E12"/>
    <w:rsid w:val="7BBD0D0E"/>
    <w:rsid w:val="7BC52D01"/>
    <w:rsid w:val="7BC754A2"/>
    <w:rsid w:val="7BC94242"/>
    <w:rsid w:val="7BD20703"/>
    <w:rsid w:val="7BD94BA0"/>
    <w:rsid w:val="7BE51920"/>
    <w:rsid w:val="7BEC1431"/>
    <w:rsid w:val="7BEC5AB6"/>
    <w:rsid w:val="7BEE02B3"/>
    <w:rsid w:val="7BEE1215"/>
    <w:rsid w:val="7BF54F0F"/>
    <w:rsid w:val="7C013AFE"/>
    <w:rsid w:val="7C142374"/>
    <w:rsid w:val="7C1B24E3"/>
    <w:rsid w:val="7C1F2759"/>
    <w:rsid w:val="7C1F418D"/>
    <w:rsid w:val="7C203471"/>
    <w:rsid w:val="7C214E9E"/>
    <w:rsid w:val="7C222FFB"/>
    <w:rsid w:val="7C2B3FDE"/>
    <w:rsid w:val="7C306EAC"/>
    <w:rsid w:val="7C360911"/>
    <w:rsid w:val="7C370C08"/>
    <w:rsid w:val="7C376987"/>
    <w:rsid w:val="7C3E49FD"/>
    <w:rsid w:val="7C411007"/>
    <w:rsid w:val="7C4C738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C457FD"/>
    <w:rsid w:val="7CC47E43"/>
    <w:rsid w:val="7CC73521"/>
    <w:rsid w:val="7CCC1769"/>
    <w:rsid w:val="7CCE2A27"/>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4641"/>
    <w:rsid w:val="7D4B771B"/>
    <w:rsid w:val="7D4C0090"/>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A1DA9"/>
    <w:rsid w:val="7D9C551C"/>
    <w:rsid w:val="7D9D0F7F"/>
    <w:rsid w:val="7D9F21A1"/>
    <w:rsid w:val="7D9F7D79"/>
    <w:rsid w:val="7DA374F4"/>
    <w:rsid w:val="7DA64427"/>
    <w:rsid w:val="7DA8503A"/>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D2B8F"/>
    <w:rsid w:val="7E403F72"/>
    <w:rsid w:val="7E4854DF"/>
    <w:rsid w:val="7E570ED0"/>
    <w:rsid w:val="7E5B6848"/>
    <w:rsid w:val="7E5D5E8C"/>
    <w:rsid w:val="7E665777"/>
    <w:rsid w:val="7E67389E"/>
    <w:rsid w:val="7E685078"/>
    <w:rsid w:val="7E695545"/>
    <w:rsid w:val="7E7D14C2"/>
    <w:rsid w:val="7E807CD3"/>
    <w:rsid w:val="7E8B3F8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0F2694"/>
    <w:rsid w:val="7F1535FF"/>
    <w:rsid w:val="7F17265C"/>
    <w:rsid w:val="7F193139"/>
    <w:rsid w:val="7F2E4452"/>
    <w:rsid w:val="7F3277A1"/>
    <w:rsid w:val="7F3B3101"/>
    <w:rsid w:val="7F3B4E97"/>
    <w:rsid w:val="7F3D45CB"/>
    <w:rsid w:val="7F3D5899"/>
    <w:rsid w:val="7F405053"/>
    <w:rsid w:val="7F425F57"/>
    <w:rsid w:val="7F5410D4"/>
    <w:rsid w:val="7F590744"/>
    <w:rsid w:val="7F591C40"/>
    <w:rsid w:val="7F5E14A3"/>
    <w:rsid w:val="7F6767D5"/>
    <w:rsid w:val="7F6A137F"/>
    <w:rsid w:val="7F6D2F51"/>
    <w:rsid w:val="7F6F052D"/>
    <w:rsid w:val="7F6F259F"/>
    <w:rsid w:val="7F780840"/>
    <w:rsid w:val="7F7B1F1F"/>
    <w:rsid w:val="7F7C55C8"/>
    <w:rsid w:val="7F8322D3"/>
    <w:rsid w:val="7F84443F"/>
    <w:rsid w:val="7F882E57"/>
    <w:rsid w:val="7F8C458B"/>
    <w:rsid w:val="7F9043BE"/>
    <w:rsid w:val="7F92041B"/>
    <w:rsid w:val="7F994C96"/>
    <w:rsid w:val="7F9D4537"/>
    <w:rsid w:val="7FA0015B"/>
    <w:rsid w:val="7FA02DF2"/>
    <w:rsid w:val="7FAB0D23"/>
    <w:rsid w:val="7FB0347F"/>
    <w:rsid w:val="7FB81DF3"/>
    <w:rsid w:val="7FB93216"/>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2021-04-02T13:28:25Z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